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3EB1A">
      <w:pPr>
        <w:spacing w:line="242" w:lineRule="auto"/>
        <w:rPr>
          <w:rFonts w:hint="default"/>
          <w:lang w:val="en-US"/>
        </w:rPr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-131445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SimSun"/>
          <w:lang w:val="en-US" w:eastAsia="zh-CN"/>
        </w:rPr>
        <w:t xml:space="preserve">                                                                                                                      </w:t>
      </w:r>
    </w:p>
    <w:p w14:paraId="78C6167B">
      <w:pPr>
        <w:spacing w:line="242" w:lineRule="auto"/>
      </w:pPr>
    </w:p>
    <w:p w14:paraId="3BB45542">
      <w:pPr>
        <w:spacing w:line="242" w:lineRule="auto"/>
      </w:pPr>
    </w:p>
    <w:p w14:paraId="607830EF">
      <w:pPr>
        <w:spacing w:line="242" w:lineRule="auto"/>
      </w:pPr>
    </w:p>
    <w:p w14:paraId="50A27520">
      <w:pPr>
        <w:spacing w:line="242" w:lineRule="auto"/>
      </w:pPr>
    </w:p>
    <w:p w14:paraId="27432B6A">
      <w:pPr>
        <w:spacing w:line="242" w:lineRule="auto"/>
      </w:pPr>
    </w:p>
    <w:p w14:paraId="00E9BCAF">
      <w:pPr>
        <w:spacing w:line="242" w:lineRule="auto"/>
      </w:pPr>
    </w:p>
    <w:p w14:paraId="2D5B6F0F">
      <w:pPr>
        <w:spacing w:line="242" w:lineRule="auto"/>
      </w:pPr>
    </w:p>
    <w:p w14:paraId="79C51411">
      <w:pPr>
        <w:spacing w:line="242" w:lineRule="auto"/>
      </w:pPr>
      <w:r>
        <w:pict>
          <v:shape id="_x0000_s2050" o:spid="_x0000_s2050" o:spt="202" type="#_x0000_t202" style="position:absolute;left:0pt;margin-left:28.85pt;margin-top:112.5pt;height:695.65pt;width:529.3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06C3EEF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 xml:space="preserve">Интеллектуальный шкаф распределения </w:t>
                  </w:r>
                </w:p>
                <w:p w14:paraId="3E905090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val="ru-RU" w:eastAsia="zh-CN"/>
                    </w:rPr>
                    <w:t>э</w:t>
                  </w:r>
                  <w:r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>лектроэнергии</w:t>
                  </w:r>
                  <w:r>
                    <w:rPr>
                      <w:rFonts w:hint="default" w:ascii="Times New Roman" w:hAnsi="Times New Roman" w:eastAsia="SimHei" w:cs="Times New Roman"/>
                      <w:color w:val="FFFFFF"/>
                      <w:spacing w:val="-2"/>
                      <w:sz w:val="32"/>
                      <w:szCs w:val="3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eastAsia="SimHei" w:cs="Times New Roman"/>
                      <w:color w:val="FFFFFF" w:themeColor="background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ВХ16-3</w:t>
                  </w:r>
                </w:p>
                <w:p w14:paraId="356073E7">
                  <w:pPr>
                    <w:spacing w:before="19" w:line="179" w:lineRule="auto"/>
                    <w:outlineLvl w:val="0"/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</w:pPr>
                </w:p>
                <w:p w14:paraId="127C8145">
                  <w:pPr>
                    <w:pStyle w:val="5"/>
                    <w:spacing w:before="131"/>
                    <w:rPr>
                      <w:rFonts w:hint="default"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0"/>
                      <w:szCs w:val="20"/>
                      <w:lang w:eastAsia="zh-CN"/>
                    </w:rPr>
                    <w:t>Сначала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0"/>
                      <w:szCs w:val="20"/>
                      <w:lang w:val="en-US" w:eastAsia="zh-CN"/>
                    </w:rPr>
                    <w:t>,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0"/>
                      <w:szCs w:val="20"/>
                      <w:lang w:eastAsia="zh-CN"/>
                    </w:rPr>
                    <w:t>описание продукта:</w:t>
                  </w:r>
                  <w:r>
                    <w:rPr>
                      <w:rFonts w:hint="default" w:ascii="Times New Roman" w:hAnsi="Times New Roman" w:eastAsia="Microsoft YaHei" w:cs="Times New Roman"/>
                      <w:kern w:val="0"/>
                      <w:sz w:val="20"/>
                      <w:szCs w:val="20"/>
                      <w:lang w:val="en-US" w:eastAsia="zh-CN"/>
                    </w:rPr>
                    <w:drawing>
                      <wp:inline distT="0" distB="0" distL="114300" distR="114300">
                        <wp:extent cx="2173605" cy="2922905"/>
                        <wp:effectExtent l="0" t="0" r="17145" b="10795"/>
                        <wp:docPr id="2" name="图片 2" descr="HX 16-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HX 16-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3605" cy="2922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4F04B36">
                  <w:pPr>
                    <w:pStyle w:val="5"/>
                    <w:spacing w:before="5" w:line="239" w:lineRule="auto"/>
                    <w:rPr>
                      <w:rFonts w:hint="default" w:ascii="Times New Roman" w:hAnsi="Times New Roman" w:cs="Times New Roman"/>
                      <w:spacing w:val="-14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2"/>
                      <w:sz w:val="20"/>
                      <w:szCs w:val="20"/>
                      <w:lang w:val="en-US" w:eastAsia="zh-CN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>. Этотшкафдля распределения электроэнергииподходит для светодиодных дисплеев,освещения, светотехники, на заводах, промышленных и горнодобывающих предприятиях и в других целях.Может управляться вручную, с контролем времени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  <w:t>(опционально), дистанционным управлением (опционально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2"/>
                      <w:szCs w:val="22"/>
                      <w:lang w:eastAsia="zh-CN"/>
                    </w:rPr>
                    <w:t>), облачным управлением мобильным телефоном (опционально), управлением многофункциональной картой (опционально),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2"/>
                      <w:szCs w:val="22"/>
                      <w:lang w:val="en-US" w:eastAsia="zh-CN"/>
                    </w:rPr>
                    <w:t>управлением ПЛК (опционально), управлением локальной сетью (опционально), управлением сухим контактом и другими разнообразными методами управления</w:t>
                  </w:r>
                  <w:r>
                    <w:rPr>
                      <w:rFonts w:hint="default" w:ascii="Times New Roman" w:hAnsi="Times New Roman" w:cs="Times New Roman"/>
                      <w:spacing w:val="8"/>
                      <w:sz w:val="22"/>
                      <w:szCs w:val="22"/>
                      <w:lang w:eastAsia="zh-CN"/>
                    </w:rPr>
                    <w:t>;</w:t>
                  </w:r>
                </w:p>
                <w:p w14:paraId="66E80881">
                  <w:pPr>
                    <w:pStyle w:val="5"/>
                    <w:numPr>
                      <w:ilvl w:val="0"/>
                      <w:numId w:val="1"/>
                    </w:numPr>
                    <w:spacing w:before="53" w:line="221" w:lineRule="auto"/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Дляшкафараспределения электроэнергии требуется подключение трехфазной пятипроводной системы.Другими словами, требуется доступ к выделенным нулевым проводам и выделенным проводам заземления (т.е.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</w:rPr>
                    <w:t>, A, B, C, N, PE).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  <w:t>Выход силового шкафа подключен к сети переменного тока 220 В, а каждый канал представляет собой трехжильный провод (т. е. L, N и PE). Выход должен быть равномерно подключен коборудованию, а распределительныйшкафтакже должен быть подключен к корпусу экрана нулевым проводом и проводом заземления.</w:t>
                  </w:r>
                </w:p>
                <w:p w14:paraId="3B4ABBA5">
                  <w:pPr>
                    <w:pStyle w:val="5"/>
                    <w:numPr>
                      <w:ilvl w:val="0"/>
                      <w:numId w:val="2"/>
                    </w:numPr>
                    <w:spacing w:before="98" w:line="183" w:lineRule="auto"/>
                    <w:ind w:leftChars="0"/>
                    <w:rPr>
                      <w:rFonts w:hint="default" w:ascii="Times New Roman" w:hAnsi="Times New Roman" w:cs="Times New Roman"/>
                      <w:spacing w:val="-9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Распределительный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может реализовывать подачу питания с многократной задержкой,одноканальный источник питания с одной группой и другие комбинации режимов подачи питания.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9"/>
                      <w:sz w:val="22"/>
                      <w:szCs w:val="22"/>
                      <w:lang w:eastAsia="zh-CN"/>
                    </w:rPr>
                    <w:t>Шкаф распределения электроэнергии имеет множество режимов управления,ручных и автоматических, запуск и остановку одной клавишей и может быть каскадным.Он оснащен трехфазным индикатором питания, который может отслеживать рабочее состояние оборудования, и имеет различные функции защиты, такие как короткое замыкание, перегрузка по току и перегрузка.</w:t>
                  </w:r>
                </w:p>
                <w:p w14:paraId="648F342D">
                  <w:pPr>
                    <w:pStyle w:val="5"/>
                    <w:numPr>
                      <w:ilvl w:val="0"/>
                      <w:numId w:val="3"/>
                    </w:numPr>
                    <w:spacing w:before="96"/>
                    <w:ind w:leftChars="0"/>
                    <w:rPr>
                      <w:rFonts w:hint="default" w:ascii="Times New Roman" w:hAnsi="Times New Roman" w:cs="Times New Roman"/>
                      <w:spacing w:val="-5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распределения электроэнергии должен эксплуатироваться профессионалами. В суровых погодных условиях, таких как гром и молния, сильный дождь, тайфуны и т.д., шкаф распределения электроэнергии не используется. Если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распределения электроэнергии работает неправильно, специалисты могут снять его перед повторным включением.</w:t>
                  </w:r>
                </w:p>
                <w:p w14:paraId="581A08DD">
                  <w:pPr>
                    <w:pStyle w:val="5"/>
                    <w:spacing w:before="97" w:line="183" w:lineRule="auto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en-US" w:eastAsia="zh-CN"/>
                    </w:rPr>
                    <w:t>5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. Не используйтешкафраспределения питания во влажной, пыльной или агрессивной среде.Расположение шкафа распределения питания должно быть свободным от явной токопроводящей пыли и отсутствия вредных коррозийных, легковоспламеняющихся и взрывоопасных веществ, воздействующих на металлы и изоляцию.Дизайн продукта соответствует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en-US" w:eastAsia="zh-CN"/>
                    </w:rPr>
                    <w:t>стандартам сертификации CQC и соответствует стандартам IEC60439-2, GB7251.1, GB7251.3, GB7251.8 и IEC60439-1.</w:t>
                  </w:r>
                </w:p>
                <w:p w14:paraId="2A81352B">
                  <w:pPr>
                    <w:pStyle w:val="5"/>
                    <w:spacing w:before="174" w:line="238" w:lineRule="exact"/>
                    <w:ind w:left="198"/>
                    <w:rPr>
                      <w:rFonts w:hint="default"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</w:p>
                <w:p w14:paraId="220F0E38">
                  <w:pPr>
                    <w:pStyle w:val="5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3CDCEC00">
      <w:pPr>
        <w:spacing w:line="242" w:lineRule="auto"/>
      </w:pPr>
    </w:p>
    <w:p w14:paraId="08812D45">
      <w:pPr>
        <w:spacing w:line="242" w:lineRule="auto"/>
      </w:pPr>
    </w:p>
    <w:p w14:paraId="744BEC08">
      <w:pPr>
        <w:spacing w:line="242" w:lineRule="auto"/>
      </w:pPr>
    </w:p>
    <w:p w14:paraId="17C1F350">
      <w:pPr>
        <w:spacing w:line="242" w:lineRule="auto"/>
      </w:pPr>
    </w:p>
    <w:p w14:paraId="5B5B514A">
      <w:pPr>
        <w:spacing w:line="242" w:lineRule="auto"/>
      </w:pPr>
    </w:p>
    <w:p w14:paraId="66AF0674">
      <w:pPr>
        <w:spacing w:line="242" w:lineRule="auto"/>
      </w:pPr>
    </w:p>
    <w:p w14:paraId="2F3423F6">
      <w:pPr>
        <w:spacing w:line="242" w:lineRule="auto"/>
      </w:pPr>
    </w:p>
    <w:p w14:paraId="240EC425">
      <w:pPr>
        <w:spacing w:line="242" w:lineRule="auto"/>
      </w:pPr>
    </w:p>
    <w:p w14:paraId="675E5C96">
      <w:pPr>
        <w:spacing w:line="242" w:lineRule="auto"/>
      </w:pPr>
    </w:p>
    <w:p w14:paraId="2CB7855B">
      <w:pPr>
        <w:spacing w:line="242" w:lineRule="auto"/>
      </w:pPr>
    </w:p>
    <w:p w14:paraId="69B066E5">
      <w:pPr>
        <w:spacing w:line="242" w:lineRule="auto"/>
      </w:pPr>
    </w:p>
    <w:p w14:paraId="635CF7E0">
      <w:pPr>
        <w:spacing w:line="242" w:lineRule="auto"/>
      </w:pPr>
    </w:p>
    <w:p w14:paraId="326B0507">
      <w:pPr>
        <w:spacing w:line="242" w:lineRule="auto"/>
      </w:pPr>
    </w:p>
    <w:p w14:paraId="6EE07ACD">
      <w:pPr>
        <w:spacing w:line="242" w:lineRule="auto"/>
      </w:pPr>
    </w:p>
    <w:p w14:paraId="5E0B21C5">
      <w:pPr>
        <w:spacing w:line="242" w:lineRule="auto"/>
      </w:pPr>
    </w:p>
    <w:p w14:paraId="71F1900E">
      <w:pPr>
        <w:spacing w:line="242" w:lineRule="auto"/>
      </w:pPr>
    </w:p>
    <w:p w14:paraId="2E677B2F">
      <w:pPr>
        <w:spacing w:line="242" w:lineRule="auto"/>
      </w:pPr>
    </w:p>
    <w:p w14:paraId="7D8E753D">
      <w:pPr>
        <w:spacing w:line="242" w:lineRule="auto"/>
      </w:pPr>
    </w:p>
    <w:p w14:paraId="7809A583">
      <w:pPr>
        <w:spacing w:line="242" w:lineRule="auto"/>
      </w:pPr>
    </w:p>
    <w:p w14:paraId="03260A95">
      <w:pPr>
        <w:spacing w:line="242" w:lineRule="auto"/>
      </w:pPr>
    </w:p>
    <w:p w14:paraId="258AB2A5">
      <w:pPr>
        <w:spacing w:line="242" w:lineRule="auto"/>
      </w:pPr>
    </w:p>
    <w:p w14:paraId="51E2598B">
      <w:pPr>
        <w:spacing w:line="242" w:lineRule="auto"/>
      </w:pPr>
    </w:p>
    <w:p w14:paraId="54959EB1">
      <w:pPr>
        <w:spacing w:line="242" w:lineRule="auto"/>
      </w:pPr>
    </w:p>
    <w:p w14:paraId="3C16BB01">
      <w:pPr>
        <w:spacing w:line="242" w:lineRule="auto"/>
      </w:pPr>
    </w:p>
    <w:p w14:paraId="49136807">
      <w:pPr>
        <w:spacing w:line="242" w:lineRule="auto"/>
      </w:pPr>
    </w:p>
    <w:p w14:paraId="37BDEA9E">
      <w:pPr>
        <w:spacing w:line="242" w:lineRule="auto"/>
      </w:pPr>
    </w:p>
    <w:p w14:paraId="7E4A7395">
      <w:pPr>
        <w:spacing w:line="242" w:lineRule="auto"/>
      </w:pPr>
    </w:p>
    <w:p w14:paraId="1F2D4231">
      <w:pPr>
        <w:spacing w:line="242" w:lineRule="auto"/>
      </w:pPr>
    </w:p>
    <w:p w14:paraId="50BD4957">
      <w:pPr>
        <w:spacing w:line="242" w:lineRule="auto"/>
      </w:pPr>
    </w:p>
    <w:p w14:paraId="40797DE7">
      <w:pPr>
        <w:spacing w:line="242" w:lineRule="auto"/>
      </w:pPr>
    </w:p>
    <w:p w14:paraId="3FE74714">
      <w:pPr>
        <w:spacing w:line="242" w:lineRule="auto"/>
      </w:pPr>
    </w:p>
    <w:p w14:paraId="23983AA2">
      <w:pPr>
        <w:spacing w:line="242" w:lineRule="auto"/>
      </w:pPr>
    </w:p>
    <w:p w14:paraId="6A2CD523">
      <w:pPr>
        <w:spacing w:line="242" w:lineRule="auto"/>
      </w:pPr>
    </w:p>
    <w:p w14:paraId="7E232408">
      <w:pPr>
        <w:spacing w:line="242" w:lineRule="auto"/>
      </w:pPr>
    </w:p>
    <w:p w14:paraId="46B14733">
      <w:pPr>
        <w:spacing w:line="242" w:lineRule="auto"/>
      </w:pPr>
    </w:p>
    <w:p w14:paraId="060E76E4">
      <w:pPr>
        <w:spacing w:line="242" w:lineRule="auto"/>
      </w:pPr>
    </w:p>
    <w:p w14:paraId="229B948B">
      <w:pPr>
        <w:spacing w:line="242" w:lineRule="auto"/>
      </w:pPr>
    </w:p>
    <w:p w14:paraId="7632D019">
      <w:pPr>
        <w:spacing w:line="242" w:lineRule="auto"/>
      </w:pPr>
    </w:p>
    <w:p w14:paraId="78C47444">
      <w:pPr>
        <w:spacing w:line="242" w:lineRule="auto"/>
      </w:pPr>
    </w:p>
    <w:p w14:paraId="08F64531">
      <w:pPr>
        <w:spacing w:line="243" w:lineRule="auto"/>
      </w:pPr>
    </w:p>
    <w:p w14:paraId="443C313A">
      <w:pPr>
        <w:spacing w:line="243" w:lineRule="auto"/>
      </w:pPr>
    </w:p>
    <w:p w14:paraId="4C17523C">
      <w:pPr>
        <w:spacing w:line="243" w:lineRule="auto"/>
      </w:pPr>
    </w:p>
    <w:p w14:paraId="787FCD98">
      <w:pPr>
        <w:spacing w:line="243" w:lineRule="auto"/>
      </w:pPr>
    </w:p>
    <w:p w14:paraId="4D11F2F1">
      <w:pPr>
        <w:spacing w:line="243" w:lineRule="auto"/>
      </w:pPr>
    </w:p>
    <w:p w14:paraId="1F4EAF4E">
      <w:pPr>
        <w:spacing w:line="243" w:lineRule="auto"/>
      </w:pPr>
    </w:p>
    <w:p w14:paraId="2EAF821F">
      <w:pPr>
        <w:spacing w:line="243" w:lineRule="auto"/>
      </w:pPr>
    </w:p>
    <w:p w14:paraId="31D3295F">
      <w:pPr>
        <w:spacing w:line="243" w:lineRule="auto"/>
      </w:pPr>
    </w:p>
    <w:p w14:paraId="5189981E">
      <w:pPr>
        <w:spacing w:line="243" w:lineRule="auto"/>
      </w:pPr>
    </w:p>
    <w:p w14:paraId="0CDC4A46">
      <w:pPr>
        <w:spacing w:line="243" w:lineRule="auto"/>
      </w:pPr>
    </w:p>
    <w:p w14:paraId="403AAAC9">
      <w:pPr>
        <w:spacing w:line="243" w:lineRule="auto"/>
      </w:pPr>
    </w:p>
    <w:p w14:paraId="15E2FA92">
      <w:pPr>
        <w:spacing w:line="243" w:lineRule="auto"/>
      </w:pPr>
    </w:p>
    <w:p w14:paraId="4AA7E7EF">
      <w:pPr>
        <w:spacing w:line="243" w:lineRule="auto"/>
      </w:pPr>
    </w:p>
    <w:p w14:paraId="2FD6983E">
      <w:pPr>
        <w:spacing w:line="243" w:lineRule="auto"/>
      </w:pPr>
    </w:p>
    <w:p w14:paraId="1976B94D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58FCBDB4">
      <w:pPr>
        <w:spacing w:line="241" w:lineRule="auto"/>
        <w:rPr>
          <w:lang w:eastAsia="zh-CN"/>
        </w:rPr>
      </w:pPr>
    </w:p>
    <w:p w14:paraId="6802C091">
      <w:pPr>
        <w:spacing w:line="241" w:lineRule="auto"/>
        <w:rPr>
          <w:lang w:eastAsia="zh-CN"/>
        </w:rPr>
      </w:pPr>
    </w:p>
    <w:p w14:paraId="52ED0CF1">
      <w:pPr>
        <w:spacing w:line="291" w:lineRule="auto"/>
        <w:rPr>
          <w:rFonts w:hint="default" w:ascii="Times New Roman" w:hAnsi="Times New Roman" w:cs="Times New Roman"/>
          <w:color w:val="C00000"/>
          <w:spacing w:val="-1"/>
          <w:position w:val="-1"/>
          <w:sz w:val="22"/>
          <w:szCs w:val="22"/>
          <w:lang w:eastAsia="zh-CN"/>
        </w:rPr>
      </w:pPr>
      <w:bookmarkStart w:id="1" w:name="_Hlk148375891"/>
    </w:p>
    <w:p w14:paraId="0F37C858">
      <w:pPr>
        <w:spacing w:line="291" w:lineRule="auto"/>
        <w:jc w:val="both"/>
        <w:rPr>
          <w:rFonts w:hint="default" w:ascii="Times New Roman" w:hAnsi="Times New Roman" w:cs="Times New Roman"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C00000"/>
          <w:spacing w:val="-1"/>
          <w:position w:val="-1"/>
          <w:sz w:val="22"/>
          <w:szCs w:val="22"/>
          <w:lang w:eastAsia="zh-CN"/>
        </w:rPr>
        <w:t>Совет:</w:t>
      </w:r>
      <w:r>
        <w:rPr>
          <w:rFonts w:hint="default" w:ascii="Times New Roman" w:hAnsi="Times New Roman" w:cs="Times New Roman"/>
          <w:color w:val="C00000"/>
          <w:spacing w:val="57"/>
          <w:w w:val="101"/>
          <w:position w:val="-1"/>
          <w:sz w:val="22"/>
          <w:szCs w:val="22"/>
          <w:lang w:eastAsia="zh-CN"/>
        </w:rPr>
        <w:t xml:space="preserve"> Из-за </w:t>
      </w:r>
      <w:r>
        <w:rPr>
          <w:rFonts w:hint="default" w:ascii="Times New Roman" w:hAnsi="Times New Roman" w:eastAsia="Arial" w:cs="Times New Roman"/>
          <w:color w:val="C00000"/>
          <w:spacing w:val="-1"/>
          <w:position w:val="-1"/>
          <w:sz w:val="22"/>
          <w:szCs w:val="22"/>
          <w:lang w:eastAsia="zh-CN"/>
        </w:rPr>
        <w:t xml:space="preserve">LED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2"/>
          <w:szCs w:val="22"/>
          <w:lang w:eastAsia="zh-CN"/>
        </w:rPr>
        <w:t>особенностей принципа работы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2"/>
          <w:szCs w:val="22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2"/>
          <w:szCs w:val="22"/>
          <w:lang w:val="en-US" w:eastAsia="zh-CN"/>
        </w:rPr>
        <w:t>светодиодного дисплея ток нулевого провода светодиодного дисплея больше тока firewire, что создает серьезные риски для безопасности.Основная причина чрезмерного тока нулевой линии вызвана третьей гармоникой, которая генерируется импульсным источником питания.Гармоники генерируются в процессе превращения переменного тока 220В в постоянный 5В, в основном третья гармоника.Во-вторых, экран светодиодного дисплея всегда был динамическим экраном, и трехфазный дисбаланс также приводит к нулевому току в линии.Вообще говоря, ток нулевого провода экрана дисплея примерно в два раза больше тока однофазного firewire.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2"/>
          <w:szCs w:val="22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2"/>
          <w:szCs w:val="22"/>
          <w:lang w:val="en-US" w:eastAsia="zh-CN"/>
        </w:rPr>
        <w:t>Например, для дисплея мощностью 200 кВт ток firewire составляет 300 А при полной нагрузке, а ток нулевого провода достигнет 600 А.Если firewire оснащен кабелем из чистой меди национального стандарта площадью 4 *120 квадратных метров + 1, нулевая линия должна быть оснащена кабелем из чистой меди национального стандарта площадью 4 * 240 квадратных метров + 1. Для экранов с площадью экрана более 100 квадратных метров инженерная сторона рекомендует Стороне A использовать устройство подавления тока нулевой линии. Чем больше экран, тем больше мы обращаем на него внимания.</w:t>
      </w:r>
    </w:p>
    <w:p w14:paraId="742BC41C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</w:p>
    <w:p w14:paraId="772E8637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>Способ обработки:</w:t>
      </w:r>
    </w:p>
    <w:p w14:paraId="16369E75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 xml:space="preserve"> ① кабель с нулевым проводом увеличен,</w:t>
      </w:r>
    </w:p>
    <w:p w14:paraId="1D3CA5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>② выбор средства подавления тока нулевой линии,</w:t>
      </w:r>
    </w:p>
    <w:p w14:paraId="7F5930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>③</w:t>
      </w:r>
      <w:bookmarkEnd w:id="1"/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>Используйте полностью изолированный шкаф распределения питания постоянного тока PFC.</w:t>
      </w:r>
      <w:bookmarkStart w:id="2" w:name="_Hlk148375909"/>
    </w:p>
    <w:p w14:paraId="058D7E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</w:p>
    <w:p w14:paraId="3333464C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BC5328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242A751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8409D4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B75D60D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EE9A3E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A8F4D7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F0FC2F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09FBF6F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B4717BC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50BA32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C21A3CA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19BA15F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E4F02DD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7DABABC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6DEEBFF">
      <w:pPr>
        <w:spacing w:before="104" w:line="223" w:lineRule="auto"/>
        <w:outlineLvl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  <w:lang w:val="ru-RU"/>
        </w:rPr>
        <w:t>Т</w:t>
      </w:r>
      <w:r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</w:rPr>
        <w:t>ехнические параметры</w:t>
      </w:r>
    </w:p>
    <w:tbl>
      <w:tblPr>
        <w:tblStyle w:val="7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590A67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00087066">
            <w:pPr>
              <w:pStyle w:val="8"/>
              <w:spacing w:before="187" w:line="180" w:lineRule="auto"/>
              <w:ind w:left="1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Модель</w:t>
            </w:r>
          </w:p>
        </w:tc>
        <w:tc>
          <w:tcPr>
            <w:tcW w:w="5855" w:type="dxa"/>
          </w:tcPr>
          <w:p w14:paraId="41E81C9E">
            <w:pPr>
              <w:pStyle w:val="8"/>
              <w:spacing w:before="201" w:line="172" w:lineRule="auto"/>
              <w:ind w:left="128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 w:eastAsia="zh-CN"/>
              </w:rPr>
              <w:t>HX16-3</w:t>
            </w:r>
          </w:p>
        </w:tc>
      </w:tr>
      <w:tr w14:paraId="6AF96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71A3CE53">
            <w:pPr>
              <w:pStyle w:val="8"/>
              <w:spacing w:before="175" w:line="184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установки-настенный</w:t>
            </w:r>
          </w:p>
        </w:tc>
        <w:tc>
          <w:tcPr>
            <w:tcW w:w="5855" w:type="dxa"/>
          </w:tcPr>
          <w:p w14:paraId="107B430F">
            <w:pPr>
              <w:pStyle w:val="8"/>
              <w:spacing w:before="177" w:line="183" w:lineRule="auto"/>
              <w:ind w:left="108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монтаж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, встроенный</w:t>
            </w:r>
          </w:p>
        </w:tc>
      </w:tr>
      <w:tr w14:paraId="1847B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57B08D55">
            <w:pPr>
              <w:spacing w:line="36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1169CC4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метод управления,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4FF6115">
            <w:pPr>
              <w:pStyle w:val="8"/>
              <w:spacing w:before="179" w:line="183" w:lineRule="auto"/>
              <w:ind w:left="10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ручное управление,</w:t>
            </w:r>
          </w:p>
        </w:tc>
        <w:tc>
          <w:tcPr>
            <w:tcW w:w="5855" w:type="dxa"/>
          </w:tcPr>
          <w:p w14:paraId="75FBB2B3">
            <w:pPr>
              <w:pStyle w:val="8"/>
              <w:spacing w:before="177" w:line="184" w:lineRule="auto"/>
              <w:ind w:left="109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контроль времени "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en-US" w:eastAsia="zh-CN"/>
              </w:rPr>
              <w:t xml:space="preserve">вручную",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автоматическое</w:t>
            </w:r>
          </w:p>
        </w:tc>
      </w:tr>
      <w:tr w14:paraId="5A98C2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51399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05F2AE1">
            <w:pPr>
              <w:pStyle w:val="8"/>
              <w:spacing w:before="178" w:line="183" w:lineRule="auto"/>
              <w:ind w:left="116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управление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>(опция)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контроль времени, дистанционное управление, облачный мобильный телефон, многофункциональная карта, сухой контакт,</w:t>
            </w:r>
          </w:p>
        </w:tc>
        <w:tc>
          <w:tcPr>
            <w:tcW w:w="5855" w:type="dxa"/>
          </w:tcPr>
          <w:p w14:paraId="613F3320">
            <w:pPr>
              <w:pStyle w:val="8"/>
              <w:spacing w:before="179" w:line="182" w:lineRule="auto"/>
              <w:ind w:left="127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управление компьютером с ПЛК, центральное управление планшетом, управление локальной сетью или Интернетом и т. Д.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. Входная проводка</w:t>
            </w:r>
          </w:p>
        </w:tc>
      </w:tr>
      <w:tr w14:paraId="456E7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273E1AC0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A502C9E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08C72AE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2A87F9B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метод подключения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6867706B">
            <w:pPr>
              <w:pStyle w:val="8"/>
              <w:spacing w:before="178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трехфазная пятипроводная система</w:t>
            </w:r>
          </w:p>
        </w:tc>
        <w:tc>
          <w:tcPr>
            <w:tcW w:w="5855" w:type="dxa"/>
          </w:tcPr>
          <w:p w14:paraId="301A3489">
            <w:pPr>
              <w:pStyle w:val="8"/>
              <w:spacing w:before="177" w:line="184" w:lineRule="auto"/>
              <w:ind w:left="122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eastAsia="zh-CN"/>
              </w:rPr>
              <w:t>входного напряжения</w:t>
            </w:r>
          </w:p>
        </w:tc>
      </w:tr>
      <w:tr w14:paraId="6AAB1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A0DA75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45409ED9">
            <w:pPr>
              <w:pStyle w:val="8"/>
              <w:spacing w:before="180" w:line="182" w:lineRule="auto"/>
              <w:ind w:left="107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и частоты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три</w:t>
            </w:r>
          </w:p>
        </w:tc>
        <w:tc>
          <w:tcPr>
            <w:tcW w:w="5855" w:type="dxa"/>
          </w:tcPr>
          <w:p w14:paraId="562F65A0">
            <w:pPr>
              <w:pStyle w:val="8"/>
              <w:spacing w:before="182" w:line="181" w:lineRule="auto"/>
              <w:ind w:left="1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eastAsia="zh-CN"/>
              </w:rPr>
              <w:t>Трехфазный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фаза 380 В, 50/60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en-US" w:eastAsia="zh-CN"/>
              </w:rPr>
              <w:t>/60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Гц</w:t>
            </w:r>
          </w:p>
        </w:tc>
      </w:tr>
      <w:tr w14:paraId="2F4D98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43C898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7F2471E">
            <w:pPr>
              <w:pStyle w:val="8"/>
              <w:spacing w:before="180" w:line="183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максимальная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мощность</w:t>
            </w:r>
          </w:p>
        </w:tc>
        <w:tc>
          <w:tcPr>
            <w:tcW w:w="5855" w:type="dxa"/>
          </w:tcPr>
          <w:p w14:paraId="3828C621">
            <w:pPr>
              <w:spacing w:before="154" w:line="199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pacing w:val="-5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16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кВт</w:t>
            </w:r>
          </w:p>
        </w:tc>
      </w:tr>
      <w:tr w14:paraId="457DF2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68F21E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7CA8D48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входной кабель</w:t>
            </w:r>
          </w:p>
        </w:tc>
        <w:tc>
          <w:tcPr>
            <w:tcW w:w="5855" w:type="dxa"/>
          </w:tcPr>
          <w:p w14:paraId="3DE940FF">
            <w:pPr>
              <w:spacing w:before="154" w:line="199" w:lineRule="auto"/>
              <w:ind w:left="1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YJV-4*4 м 2 + 2,5 м м2</w:t>
            </w:r>
          </w:p>
        </w:tc>
      </w:tr>
      <w:tr w14:paraId="5882E2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4E391CCD">
            <w:pPr>
              <w:spacing w:line="24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98164C2">
            <w:pPr>
              <w:spacing w:line="24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5D9A783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FBEF507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B8D97BB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9C388F7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выходная проводка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411A4AA6">
            <w:pPr>
              <w:pStyle w:val="8"/>
              <w:spacing w:before="179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подключения</w:t>
            </w:r>
          </w:p>
        </w:tc>
        <w:tc>
          <w:tcPr>
            <w:tcW w:w="5855" w:type="dxa"/>
          </w:tcPr>
          <w:p w14:paraId="7AD5EE72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eastAsia="zh-CN"/>
              </w:rPr>
              <w:t>однофазныйдвухпроводный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en-US" w:eastAsia="zh-CN"/>
              </w:rPr>
              <w:t>провод + земля</w:t>
            </w:r>
          </w:p>
        </w:tc>
      </w:tr>
      <w:tr w14:paraId="08D74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FC4E6D2">
            <w:pP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BCC8A72">
            <w:pPr>
              <w:pStyle w:val="8"/>
              <w:spacing w:before="181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выходное напряжение</w:t>
            </w:r>
          </w:p>
        </w:tc>
        <w:tc>
          <w:tcPr>
            <w:tcW w:w="5855" w:type="dxa"/>
          </w:tcPr>
          <w:p w14:paraId="76FC05F4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eastAsia="zh-CN"/>
              </w:rPr>
              <w:t>переменного тока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220 В</w:t>
            </w:r>
          </w:p>
        </w:tc>
      </w:tr>
      <w:tr w14:paraId="24D27D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E78D7B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8F68A05">
            <w:pPr>
              <w:pStyle w:val="8"/>
              <w:spacing w:before="181" w:line="183" w:lineRule="auto"/>
              <w:ind w:left="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одноканальная мощность</w:t>
            </w:r>
          </w:p>
        </w:tc>
        <w:tc>
          <w:tcPr>
            <w:tcW w:w="5855" w:type="dxa"/>
          </w:tcPr>
          <w:p w14:paraId="6BF2C9D7">
            <w:pPr>
              <w:spacing w:before="154" w:line="199" w:lineRule="auto"/>
              <w:ind w:left="113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  <w:t>Макс. 5,5 кВт (рекомендуемое фактическое использование ≤4 кВт)</w:t>
            </w:r>
          </w:p>
        </w:tc>
      </w:tr>
      <w:tr w14:paraId="6F5AC4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C89F0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C73B5AD">
            <w:pPr>
              <w:pStyle w:val="8"/>
              <w:spacing w:before="180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количество выходных каналов</w:t>
            </w:r>
          </w:p>
        </w:tc>
        <w:tc>
          <w:tcPr>
            <w:tcW w:w="5855" w:type="dxa"/>
          </w:tcPr>
          <w:p w14:paraId="4CF51134">
            <w:pPr>
              <w:spacing w:before="153" w:line="198" w:lineRule="auto"/>
              <w:ind w:left="139"/>
              <w:rPr>
                <w:rFonts w:hint="default" w:ascii="Times New Roman" w:hAnsi="Times New Roman" w:eastAsia="SimSu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</w:tr>
      <w:tr w14:paraId="6399A5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66CF075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49A5A3D7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Выходной кабель</w:t>
            </w:r>
          </w:p>
        </w:tc>
        <w:tc>
          <w:tcPr>
            <w:tcW w:w="5855" w:type="dxa"/>
          </w:tcPr>
          <w:p w14:paraId="71B7D66F">
            <w:pPr>
              <w:spacing w:before="153" w:line="199" w:lineRule="auto"/>
              <w:ind w:left="12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RVV-3*2,5 мм2</w:t>
            </w:r>
          </w:p>
        </w:tc>
      </w:tr>
      <w:tr w14:paraId="5C5B2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47F416D1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рабочая среда</w:t>
            </w:r>
          </w:p>
        </w:tc>
        <w:tc>
          <w:tcPr>
            <w:tcW w:w="1746" w:type="dxa"/>
            <w:shd w:val="clear" w:color="auto" w:fill="F1F1F1"/>
          </w:tcPr>
          <w:p w14:paraId="1E7E59F7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температура</w:t>
            </w:r>
          </w:p>
        </w:tc>
        <w:tc>
          <w:tcPr>
            <w:tcW w:w="5855" w:type="dxa"/>
          </w:tcPr>
          <w:p w14:paraId="49EED52C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-20℃-60 ℃</w:t>
            </w:r>
          </w:p>
        </w:tc>
      </w:tr>
      <w:tr w14:paraId="29DB11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6014F68D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размер шкафа</w:t>
            </w:r>
          </w:p>
        </w:tc>
        <w:tc>
          <w:tcPr>
            <w:tcW w:w="5855" w:type="dxa"/>
          </w:tcPr>
          <w:p w14:paraId="1C2BEED6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высота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ширина 30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толщина 14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</w:p>
        </w:tc>
      </w:tr>
      <w:tr w14:paraId="3FE06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76AC449">
            <w:pPr>
              <w:pStyle w:val="8"/>
              <w:spacing w:before="180" w:line="184" w:lineRule="auto"/>
              <w:ind w:left="113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материал шкафа</w:t>
            </w:r>
          </w:p>
        </w:tc>
        <w:tc>
          <w:tcPr>
            <w:tcW w:w="5855" w:type="dxa"/>
          </w:tcPr>
          <w:p w14:paraId="0C893960">
            <w:pPr>
              <w:pStyle w:val="8"/>
              <w:spacing w:before="201" w:line="172" w:lineRule="auto"/>
              <w:ind w:left="117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холоднокатаная сталь</w:t>
            </w:r>
          </w:p>
        </w:tc>
      </w:tr>
      <w:tr w14:paraId="417F1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ADE9361">
            <w:pPr>
              <w:pStyle w:val="8"/>
              <w:spacing w:before="181" w:line="183" w:lineRule="auto"/>
              <w:ind w:left="111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eastAsia="zh-CN"/>
              </w:rPr>
              <w:t>марка листовых компонентов</w:t>
            </w:r>
          </w:p>
        </w:tc>
        <w:tc>
          <w:tcPr>
            <w:tcW w:w="5855" w:type="dxa"/>
          </w:tcPr>
          <w:p w14:paraId="7AE0494F">
            <w:pPr>
              <w:pStyle w:val="8"/>
              <w:spacing w:before="200" w:line="172" w:lineRule="auto"/>
              <w:ind w:left="128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eastAsia="zh-CN"/>
              </w:rPr>
              <w:t>Delixi high-end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en-US" w:eastAsia="zh-CN"/>
              </w:rPr>
              <w:t>серия 6 (опционально CHINT, Schneider, Siemens, ABB и другие бренды)</w:t>
            </w:r>
          </w:p>
        </w:tc>
      </w:tr>
      <w:tr w14:paraId="29897E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4DDB184">
            <w:pPr>
              <w:pStyle w:val="8"/>
              <w:spacing w:before="181" w:line="183" w:lineRule="auto"/>
              <w:ind w:left="13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eastAsia="zh-CN"/>
              </w:rPr>
              <w:t>уровень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защиты</w:t>
            </w:r>
          </w:p>
        </w:tc>
        <w:tc>
          <w:tcPr>
            <w:tcW w:w="5855" w:type="dxa"/>
          </w:tcPr>
          <w:p w14:paraId="5030CA5B">
            <w:pPr>
              <w:pStyle w:val="8"/>
              <w:spacing w:before="179" w:line="184" w:lineRule="auto"/>
              <w:ind w:left="128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IP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43</w:t>
            </w:r>
          </w:p>
        </w:tc>
      </w:tr>
      <w:tr w14:paraId="34DD2C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A50C532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стандарт реализации</w:t>
            </w:r>
          </w:p>
        </w:tc>
        <w:tc>
          <w:tcPr>
            <w:tcW w:w="5855" w:type="dxa"/>
          </w:tcPr>
          <w:p w14:paraId="1840D40B">
            <w:pPr>
              <w:spacing w:before="157" w:line="215" w:lineRule="auto"/>
              <w:ind w:left="13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</w:t>
            </w: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</w:tr>
      <w:tr w14:paraId="6E47EC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11B506DB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информация об упаковке</w:t>
            </w:r>
          </w:p>
        </w:tc>
        <w:tc>
          <w:tcPr>
            <w:tcW w:w="5855" w:type="dxa"/>
          </w:tcPr>
          <w:p w14:paraId="5B1D8ACB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картонная коробка</w:t>
            </w:r>
          </w:p>
        </w:tc>
      </w:tr>
      <w:tr w14:paraId="51875C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DB1E911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информация о сертификации</w:t>
            </w:r>
          </w:p>
        </w:tc>
        <w:tc>
          <w:tcPr>
            <w:tcW w:w="5855" w:type="dxa"/>
          </w:tcPr>
          <w:p w14:paraId="6716CFC4">
            <w:pPr>
              <w:spacing w:before="157" w:line="215" w:lineRule="auto"/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CQC, CE, FCC, ROHS, патентный сертификат и авторские права на программное обеспечение</w:t>
            </w:r>
          </w:p>
        </w:tc>
      </w:tr>
      <w:bookmarkEnd w:id="2"/>
    </w:tbl>
    <w:p w14:paraId="2FFF70F8">
      <w:pPr>
        <w:rPr>
          <w:rFonts w:hint="default" w:ascii="Times New Roman" w:hAnsi="Times New Roman" w:cs="Times New Roman"/>
          <w:sz w:val="24"/>
          <w:szCs w:val="24"/>
        </w:r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5B4EAAAF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</w:p>
    <w:p w14:paraId="75DE92A1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Э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ксплуатационные характеристики продукта</w:t>
      </w:r>
    </w:p>
    <w:p w14:paraId="20FB390D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563E8E64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55DB0EA2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Основные функции:</w:t>
      </w:r>
    </w:p>
    <w:p w14:paraId="0FE9EF02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Высококачественные компоненты Delixi серии 6</w:t>
      </w:r>
    </w:p>
    <w:p w14:paraId="10AB7D0C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Трехфазная промышленная защита от ограничения тока</w:t>
      </w:r>
    </w:p>
    <w:p w14:paraId="4C88AEED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состояния трехфазного питания</w:t>
      </w:r>
    </w:p>
    <w:p w14:paraId="5C83359F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рабочего состояния</w:t>
      </w:r>
    </w:p>
    <w:p w14:paraId="320812FB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Капитальный ремонт розетки</w:t>
      </w:r>
    </w:p>
    <w:p w14:paraId="3BDCB17A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Дистанционное управление сухими контактами с помощью одной кнопки</w:t>
      </w:r>
    </w:p>
    <w:p w14:paraId="56AFF352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Каскадное управление сухим контактом</w:t>
      </w:r>
    </w:p>
    <w:p w14:paraId="3F521773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контроля времени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переключатель таймера</w:t>
      </w:r>
    </w:p>
    <w:p w14:paraId="6ED20D38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дистанционного управления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ограниченное дистанционное управление</w:t>
      </w:r>
    </w:p>
    <w:p w14:paraId="27C5A50A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Облако мобильных телефонов (необязательно)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отсутствие ограничений по расстоянию, управление с мобильного телефона</w:t>
      </w:r>
    </w:p>
    <w:p w14:paraId="167BB3D2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Многофункциональная карта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Nova, Calette, Lingxingyu, Kstar, AVIC, Moselle и др.</w:t>
      </w:r>
    </w:p>
    <w:p w14:paraId="2758DB9E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ПЛК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На компьютер устанавливается специальное программное обеспечение, и любой компьютер в локальной сети может управлять любым шкафом распределения электроэнергии, а несколькими блоками можно управлять централизованно. Интерфейс управления может отображать внутреннюю температуру, влажность, задымленность и другое состояние корпуса.</w:t>
      </w:r>
    </w:p>
    <w:p w14:paraId="3172D5EA">
      <w:pPr>
        <w:keepNext w:val="0"/>
        <w:keepLines w:val="0"/>
        <w:pageBreakBefore w:val="0"/>
        <w:widowControl/>
        <w:numPr>
          <w:ilvl w:val="1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Центральное управление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Одним или несколькими распределительными шкафами можно управлять с помощью центрального управления.</w:t>
      </w:r>
    </w:p>
    <w:p w14:paraId="233FE9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1B83D0C2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277F9094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У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правление защитой</w:t>
      </w:r>
    </w:p>
    <w:p w14:paraId="3C1CC2A1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короткого замыкания</w:t>
      </w:r>
    </w:p>
    <w:p w14:paraId="0FB6AB8A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перегрузки</w:t>
      </w:r>
    </w:p>
    <w:p w14:paraId="0D1FE158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молниезащита (опция)</w:t>
      </w:r>
      <w:bookmarkStart w:id="4" w:name="_GoBack"/>
      <w:bookmarkEnd w:id="4"/>
    </w:p>
    <w:p w14:paraId="7C5CD294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утечки (опция)</w:t>
      </w:r>
    </w:p>
    <w:p w14:paraId="55613FC9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перенапряжения (опция)</w:t>
      </w:r>
    </w:p>
    <w:p w14:paraId="31E7B882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Защита от обрыва фазы (опция)</w:t>
      </w:r>
    </w:p>
    <w:p w14:paraId="2C94FE5C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Отключение питания при высокой температуре (необязательно)</w:t>
      </w:r>
    </w:p>
    <w:p w14:paraId="601B1030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Пожарная сигнализация, отключение питания (опция)</w:t>
      </w:r>
    </w:p>
    <w:p w14:paraId="5CD0E34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9. Откройте дверь и включите сигнализацию (опция)</w:t>
      </w:r>
    </w:p>
    <w:p w14:paraId="018C0E4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10. Пожарная сигнализация (опция)</w:t>
      </w:r>
    </w:p>
    <w:p w14:paraId="7F5DF9E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 w:val="0"/>
          <w:bCs w:val="0"/>
          <w:sz w:val="24"/>
          <w:szCs w:val="24"/>
          <w:u w:val="none"/>
          <w:lang w:val="en-US" w:eastAsia="zh-CN"/>
        </w:rPr>
        <w:t>11. Защита кабелей с нулевым проводом от высоких температур.(Необязательно)</w:t>
      </w:r>
    </w:p>
    <w:p w14:paraId="4CEB49AC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345650D8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22E78275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Управление потреблением электроэнергии (необязательно)</w:t>
      </w:r>
    </w:p>
    <w:p w14:paraId="040A20FC">
      <w:pPr>
        <w:spacing w:before="4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6D22AE9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Дистанционное управление, мониторинг в режиме реального времени, предупреждение о неисправностях и аварийная сигнализация, анализ энергопотребления.</w:t>
      </w:r>
    </w:p>
    <w:p w14:paraId="01D29A09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Мониторинг параметров энергопотребления каждой линии в режиме реального времени (таких как ток, напряжение, ток утечки, мощность, температура и т.д.).</w:t>
      </w:r>
    </w:p>
    <w:p w14:paraId="28AD403E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en-US" w:eastAsia="zh-CN"/>
        </w:rPr>
        <w:t>Ограничение мощности: В пределах диапазона используемой мощности можно свободно устанавливать номинальную мощность каждой силовой цепи, а значения раннего предупреждения и аварийной сигнализации можно гибко устанавливать с помощью платформы для регулировки значения защиты линии после установки, чтобы предотвратить злоупотребление мощными электроприборами и снизить риск потребления электроэнергии.</w:t>
      </w:r>
    </w:p>
    <w:p w14:paraId="6F15D4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FB2A1E9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09755BA6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6F168091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3C67A1A4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7557D564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11382261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  <w:bookmarkStart w:id="3" w:name="_Hlk148375924"/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  <w:t>Информация по установке</w:t>
      </w:r>
    </w:p>
    <w:p w14:paraId="7FF86CD4">
      <w:pPr>
        <w:numPr>
          <w:ilvl w:val="0"/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bookmarkEnd w:id="3"/>
    <w:p w14:paraId="60254DC9">
      <w:pPr>
        <w:spacing w:line="221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2533015" cy="3328670"/>
            <wp:effectExtent l="0" t="0" r="635" b="508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33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 xml:space="preserve">          </w:t>
      </w: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1972945" cy="3303905"/>
            <wp:effectExtent l="0" t="0" r="8255" b="1079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B083C">
      <w:pPr>
        <w:spacing w:line="221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49165318">
      <w:pPr>
        <w:spacing w:line="221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7DDD6BEB">
      <w:pPr>
        <w:spacing w:line="221" w:lineRule="auto"/>
        <w:jc w:val="center"/>
        <w:rPr>
          <w:rFonts w:hint="default" w:ascii="Times New Roman" w:hAnsi="Times New Roman" w:cs="Times New Roman"/>
          <w:sz w:val="24"/>
          <w:szCs w:val="24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2682240" cy="3947795"/>
            <wp:effectExtent l="0" t="0" r="3810" b="1460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94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2848610" cy="4058285"/>
            <wp:effectExtent l="0" t="0" r="8890" b="1841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405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03D4BF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hint="default" w:ascii="Times New Roman" w:hAnsi="Times New Roman" w:eastAsia="SimHei" w:cs="Times New Roman"/>
          <w:sz w:val="24"/>
          <w:szCs w:val="24"/>
        </w:rPr>
      </w:pPr>
    </w:p>
    <w:p w14:paraId="72500B5C">
      <w:pPr>
        <w:bidi w:val="0"/>
        <w:rPr>
          <w:rFonts w:hint="default" w:ascii="Times New Roman" w:hAnsi="Times New Roman" w:eastAsia="Arial" w:cs="Times New Roman"/>
          <w:snapToGrid w:val="0"/>
          <w:color w:val="000000"/>
          <w:sz w:val="24"/>
          <w:szCs w:val="24"/>
          <w:lang w:val="en-US" w:eastAsia="en-US" w:bidi="ar-SA"/>
        </w:rPr>
      </w:pPr>
    </w:p>
    <w:p w14:paraId="6B7679C2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4FD6EB53">
      <w:pPr>
        <w:bidi w:val="0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</w:p>
    <w:p w14:paraId="0EDFEC94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ru-RU" w:eastAsia="zh-CN"/>
        </w:rPr>
        <w:t>П</w:t>
      </w: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en-US" w:eastAsia="zh-CN"/>
        </w:rPr>
        <w:t>ринципиальная схема</w:t>
      </w:r>
    </w:p>
    <w:p w14:paraId="0BFE1D02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10BF6284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63F10C51">
      <w:pPr>
        <w:tabs>
          <w:tab w:val="left" w:pos="765"/>
        </w:tabs>
        <w:bidi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6995160" cy="4055745"/>
            <wp:effectExtent l="0" t="0" r="15240" b="190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405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66AB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3172460" cy="3924300"/>
            <wp:effectExtent l="0" t="0" r="889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246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75872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40013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00B79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7DD7B">
    <w:pPr>
      <w:pStyle w:val="4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ADB69">
    <w:pPr>
      <w:pStyle w:val="4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EF303">
    <w:pPr>
      <w:pStyle w:val="4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A3651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11B7A">
    <w:pPr>
      <w:pStyle w:val="4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2D8A6">
    <w:pPr>
      <w:pStyle w:val="4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EC0A4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83033">
    <w:pPr>
      <w:pStyle w:val="4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59858">
    <w:pPr>
      <w:pStyle w:val="4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0ADB2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05879">
    <w:pPr>
      <w:pStyle w:val="4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2C56C">
    <w:pPr>
      <w:pStyle w:val="4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F6215B"/>
    <w:multiLevelType w:val="singleLevel"/>
    <w:tmpl w:val="8BF6215B"/>
    <w:lvl w:ilvl="0" w:tentative="0">
      <w:start w:val="1"/>
      <w:numFmt w:val="decimal"/>
      <w:lvlText w:val="(%1)"/>
      <w:lvlJc w:val="left"/>
      <w:pPr>
        <w:tabs>
          <w:tab w:val="left" w:pos="1572"/>
        </w:tabs>
        <w:ind w:left="1260"/>
      </w:pPr>
    </w:lvl>
  </w:abstractNum>
  <w:abstractNum w:abstractNumId="1">
    <w:nsid w:val="A6469D21"/>
    <w:multiLevelType w:val="multilevel"/>
    <w:tmpl w:val="A6469D21"/>
    <w:lvl w:ilvl="0" w:tentative="0">
      <w:start w:val="1"/>
      <w:numFmt w:val="chineseCounting"/>
      <w:suff w:val="nothing"/>
      <w:lvlText w:val="%1，"/>
      <w:lvlJc w:val="left"/>
      <w:rPr>
        <w:rFonts w:hint="eastAsia"/>
        <w:b/>
        <w:bCs/>
        <w:sz w:val="21"/>
        <w:szCs w:val="21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  <w:b/>
        <w:bCs/>
        <w:sz w:val="21"/>
        <w:szCs w:val="21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  <w:b/>
        <w:bCs/>
        <w:sz w:val="21"/>
        <w:szCs w:val="21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  <w:b/>
        <w:bCs/>
        <w:sz w:val="21"/>
        <w:szCs w:val="21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  <w:b/>
        <w:bCs/>
        <w:sz w:val="21"/>
        <w:szCs w:val="21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  <w:b/>
        <w:bCs/>
        <w:sz w:val="21"/>
        <w:szCs w:val="21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  <w:b/>
        <w:bCs/>
        <w:sz w:val="21"/>
        <w:szCs w:val="21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  <w:b/>
        <w:bCs/>
        <w:sz w:val="21"/>
        <w:szCs w:val="21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  <w:b/>
        <w:bCs/>
        <w:sz w:val="21"/>
        <w:szCs w:val="21"/>
      </w:rPr>
    </w:lvl>
  </w:abstractNum>
  <w:abstractNum w:abstractNumId="2">
    <w:nsid w:val="CA42B548"/>
    <w:multiLevelType w:val="singleLevel"/>
    <w:tmpl w:val="CA42B548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FF44C935"/>
    <w:multiLevelType w:val="singleLevel"/>
    <w:tmpl w:val="FF44C935"/>
    <w:lvl w:ilvl="0" w:tentative="0">
      <w:start w:val="4"/>
      <w:numFmt w:val="decimal"/>
      <w:suff w:val="space"/>
      <w:lvlText w:val="%1."/>
      <w:lvlJc w:val="left"/>
    </w:lvl>
  </w:abstractNum>
  <w:abstractNum w:abstractNumId="4">
    <w:nsid w:val="0D6C632E"/>
    <w:multiLevelType w:val="singleLevel"/>
    <w:tmpl w:val="0D6C632E"/>
    <w:lvl w:ilvl="0" w:tentative="0">
      <w:start w:val="1"/>
      <w:numFmt w:val="decimal"/>
      <w:suff w:val="nothing"/>
      <w:lvlText w:val="%1，"/>
      <w:lvlJc w:val="left"/>
    </w:lvl>
  </w:abstractNum>
  <w:abstractNum w:abstractNumId="5">
    <w:nsid w:val="0F62BD90"/>
    <w:multiLevelType w:val="singleLevel"/>
    <w:tmpl w:val="0F62BD90"/>
    <w:lvl w:ilvl="0" w:tentative="0">
      <w:start w:val="4"/>
      <w:numFmt w:val="decimal"/>
      <w:suff w:val="space"/>
      <w:lvlText w:val="%1."/>
      <w:lvlJc w:val="left"/>
    </w:lvl>
  </w:abstractNum>
  <w:abstractNum w:abstractNumId="6">
    <w:nsid w:val="635CD2C0"/>
    <w:multiLevelType w:val="singleLevel"/>
    <w:tmpl w:val="635CD2C0"/>
    <w:lvl w:ilvl="0" w:tentative="0">
      <w:start w:val="2"/>
      <w:numFmt w:val="decimal"/>
      <w:suff w:val="nothing"/>
      <w:lvlText w:val="%1，"/>
      <w:lvlJc w:val="left"/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162B66BE"/>
    <w:rsid w:val="17B34744"/>
    <w:rsid w:val="189308FB"/>
    <w:rsid w:val="19AE3E7B"/>
    <w:rsid w:val="2AF3260E"/>
    <w:rsid w:val="2CB77F57"/>
    <w:rsid w:val="39AC08AE"/>
    <w:rsid w:val="3F57057C"/>
    <w:rsid w:val="42DC2E3E"/>
    <w:rsid w:val="44515AC5"/>
    <w:rsid w:val="479A5B63"/>
    <w:rsid w:val="4A267B38"/>
    <w:rsid w:val="4C33695C"/>
    <w:rsid w:val="68827E9F"/>
    <w:rsid w:val="69C7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6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9">
    <w:name w:val="页眉 字符"/>
    <w:basedOn w:val="2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2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9.png"/><Relationship Id="rId25" Type="http://schemas.openxmlformats.org/officeDocument/2006/relationships/image" Target="media/image8.png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621</Words>
  <Characters>4579</Characters>
  <Lines>8</Lines>
  <Paragraphs>2</Paragraphs>
  <TotalTime>12</TotalTime>
  <ScaleCrop>false</ScaleCrop>
  <LinksUpToDate>false</LinksUpToDate>
  <CharactersWithSpaces>5238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2022-05-07T09:45:00Z</dcterms:created>
  <dc:creator>Yandex.Translate</dc:creator>
  <dc:description>Translated with Yandex.Translate</dc:description>
  <cp:lastModifiedBy>Andrey</cp:lastModifiedBy>
  <dcterms:modified xsi:type="dcterms:W3CDTF">2026-09-18T12:36:17Z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1049-12.1.0.28032</vt:lpwstr>
  </property>
  <property fmtid="{D5CDD505-2E9C-101B-9397-08002B2CF9AE}" pid="5" name="ICV">
    <vt:lpwstr>7BCE40405235431BBB4D91C366236A6E_13</vt:lpwstr>
  </property>
  <property fmtid="{D5CDD505-2E9C-101B-9397-08002B2CF9AE}" pid="6" name="KSOTemplateDocerSaveRecord">
    <vt:lpwstr>eyJoZGlkIjoiZWZlZGEyM2EwNTJkYjZiZWEzMzZiNTkxOTc5NWY1NjIiLCJ1c2VySWQiOiI4NDIxNzk4NDA4OTYifQ==</vt:lpwstr>
  </property>
</Properties>
</file>