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5D603">
      <w:pPr>
        <w:spacing w:line="242" w:lineRule="auto"/>
        <w:rPr>
          <w:rFonts w:hint="default"/>
          <w:lang w:val="en-US"/>
        </w:rPr>
      </w:pPr>
      <w:bookmarkStart w:id="0" w:name="_Hlk148375851"/>
      <w:r>
        <w:rPr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327660</wp:posOffset>
            </wp:positionH>
            <wp:positionV relativeFrom="paragraph">
              <wp:posOffset>-131445</wp:posOffset>
            </wp:positionV>
            <wp:extent cx="7293610" cy="10774680"/>
            <wp:effectExtent l="0" t="0" r="2540" b="7620"/>
            <wp:wrapNone/>
            <wp:docPr id="2134664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64551" name="图片 1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610" cy="1077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SimSun"/>
          <w:lang w:val="en-US" w:eastAsia="zh-CN"/>
        </w:rPr>
        <w:t xml:space="preserve">                                                                                                                      </w:t>
      </w:r>
    </w:p>
    <w:p w14:paraId="20DE15F4">
      <w:pPr>
        <w:spacing w:line="242" w:lineRule="auto"/>
      </w:pPr>
    </w:p>
    <w:p w14:paraId="45EBF64F">
      <w:pPr>
        <w:spacing w:line="242" w:lineRule="auto"/>
      </w:pPr>
    </w:p>
    <w:p w14:paraId="6AD3E2ED">
      <w:pPr>
        <w:spacing w:line="242" w:lineRule="auto"/>
      </w:pPr>
    </w:p>
    <w:p w14:paraId="1BC3C78C">
      <w:pPr>
        <w:spacing w:line="242" w:lineRule="auto"/>
      </w:pPr>
    </w:p>
    <w:p w14:paraId="083230F5">
      <w:pPr>
        <w:spacing w:line="242" w:lineRule="auto"/>
      </w:pPr>
    </w:p>
    <w:p w14:paraId="243F5910">
      <w:pPr>
        <w:spacing w:line="242" w:lineRule="auto"/>
      </w:pPr>
    </w:p>
    <w:p w14:paraId="406A5E88">
      <w:pPr>
        <w:spacing w:line="242" w:lineRule="auto"/>
      </w:pPr>
    </w:p>
    <w:p w14:paraId="452643D6">
      <w:pPr>
        <w:spacing w:line="242" w:lineRule="auto"/>
      </w:pPr>
      <w:r>
        <w:pict>
          <v:shape id="_x0000_s2050" o:spid="_x0000_s2050" o:spt="202" type="#_x0000_t202" style="position:absolute;left:0pt;margin-left:28.85pt;margin-top:112.5pt;height:695.65pt;width:529.3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F0D0FCE">
                  <w:pPr>
                    <w:spacing w:before="19" w:line="179" w:lineRule="auto"/>
                    <w:outlineLvl w:val="0"/>
                    <w:rPr>
                      <w:rFonts w:ascii="Calibri" w:hAnsi="Calibri" w:eastAsia="Calibri" w:cs="Calibri"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ascii="Calibri" w:hAnsi="Calibri" w:eastAsia="Calibri" w:cs="Calibri"/>
                      <w:sz w:val="32"/>
                      <w:szCs w:val="32"/>
                      <w:lang w:eastAsia="zh-CN"/>
                    </w:rPr>
                    <w:t>Интеллектуальный распределительный шкаф</w:t>
                  </w:r>
                  <w:r>
                    <w:rPr>
                      <w:rFonts w:ascii="Calibri" w:hAnsi="Calibri" w:eastAsia="Calibri" w:cs="Calibri"/>
                      <w:sz w:val="32"/>
                      <w:szCs w:val="32"/>
                      <w:lang w:eastAsia="zh-CN"/>
                    </w:rPr>
                    <w:br w:type="textWrapping"/>
                  </w:r>
                  <w:r>
                    <w:rPr>
                      <w:rFonts w:ascii="Calibri" w:hAnsi="Calibri" w:eastAsia="Calibri" w:cs="Calibri"/>
                      <w:sz w:val="32"/>
                      <w:szCs w:val="32"/>
                      <w:lang w:eastAsia="zh-CN"/>
                    </w:rPr>
                    <w:t>HX21-3</w:t>
                  </w:r>
                </w:p>
                <w:p w14:paraId="11624B1F">
                  <w:pPr>
                    <w:spacing w:before="19" w:line="179" w:lineRule="auto"/>
                    <w:outlineLvl w:val="0"/>
                    <w:rPr>
                      <w:rFonts w:ascii="Calibri" w:hAnsi="Calibri" w:eastAsia="Calibri" w:cs="Calibri"/>
                      <w:sz w:val="32"/>
                      <w:szCs w:val="32"/>
                      <w:lang w:eastAsia="zh-CN"/>
                    </w:rPr>
                  </w:pPr>
                </w:p>
                <w:p w14:paraId="71C9F2D4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 w:firstLine="0"/>
                    <w:jc w:val="both"/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</w:pPr>
                  <w:r>
                    <w:rPr>
                      <w:rStyle w:val="8"/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</w:rPr>
                    <w:t>I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. Описание продукции</w:t>
                  </w:r>
                </w:p>
                <w:p w14:paraId="1490C583">
                  <w:pPr>
                    <w:pStyle w:val="4"/>
                    <w:spacing w:before="131"/>
                    <w:rPr>
                      <w:sz w:val="30"/>
                      <w:szCs w:val="30"/>
                      <w:lang w:eastAsia="zh-CN"/>
                    </w:rPr>
                  </w:pPr>
                  <w:r>
                    <w:rPr>
                      <w:b/>
                      <w:bCs/>
                      <w:sz w:val="30"/>
                      <w:szCs w:val="30"/>
                      <w:lang w:eastAsia="zh-CN"/>
                    </w:rPr>
                    <w:t xml:space="preserve">   </w:t>
                  </w:r>
                  <w:r>
                    <w:rPr>
                      <w:rFonts w:hint="eastAsia" w:ascii="Microsoft YaHei" w:hAnsi="Microsoft YaHei" w:eastAsia="Microsoft YaHei" w:cs="Microsoft YaHei"/>
                      <w:kern w:val="0"/>
                      <w:sz w:val="28"/>
                      <w:szCs w:val="28"/>
                      <w:lang w:val="en-US" w:eastAsia="zh-CN"/>
                    </w:rPr>
                    <w:drawing>
                      <wp:inline distT="0" distB="0" distL="114300" distR="114300">
                        <wp:extent cx="1695450" cy="2376805"/>
                        <wp:effectExtent l="0" t="0" r="6350" b="10795"/>
                        <wp:docPr id="2" name="图片 2" descr="HX 16-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HX 16-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95450" cy="2376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sz w:val="30"/>
                      <w:szCs w:val="30"/>
                      <w:lang w:eastAsia="zh-CN"/>
                    </w:rPr>
                    <w:t xml:space="preserve">                                                  </w:t>
                  </w:r>
                </w:p>
                <w:p w14:paraId="11029598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sz w:val="20"/>
                      <w:szCs w:val="20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1.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Данный распределительный шкаф предназначен для использования с LED-дисплеями, системами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 xml:space="preserve">декоративного освещения, осветительными установками, на заводах, промышленных и горнодобывающих предприятиях и т. д. Предусмотрены различные способы управления: ручное управление, управление по времени (опционально), дистанционное управление (опционально), управление через облачный сервис с телефона (опционально), управление с помощью многофункциональной карты (опционально), управление через PLC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/>
                    </w:rPr>
                    <w:t>(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программируемый логистический контроллер -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опционально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опционально), управление по локальной сети (опционально), управление сухим контактом и др.</w:t>
                  </w:r>
                </w:p>
                <w:p w14:paraId="47234788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2.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Для распределительного шкафа требуется входное подключение по трёхфазной пятипроводной системе. То есть необходимо подключить отдельные нейтральный и защитный заземляющий провода (A, B, C, N, PE). Выходное напряжение шкафа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переменное напряжение 220 В. Каждая линия представляет собой трёхжильный кабель (L, N, PE). Выходные линии должны быть равномерно распределены и подключены к оборудованию. При подключении распределительного шкафа к LED-дисплею также необходимо подключить нейтральный и заземляющий провода.</w:t>
                  </w:r>
                </w:p>
                <w:p w14:paraId="671C14F5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pacing w:val="-9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3. 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Распределительный шкаф может реализовывать различные комбинации режимов электропитания, такие как многоступенчатая подача питания с задержкой и независимое питание по отдельным линиям.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 xml:space="preserve">Распределительный шкаф поддерживает различные режимы управления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>(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ручной и автоматический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>)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, объединённые в одной системе. Предусмотрена функция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запуска и остановки одним нажатием кнопки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, а также возможность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каскадного подключения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 нескольких шкафов.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Шкаф оснащён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индикаторами трёхфазного питания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, что позволяет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контролировать рабочее состояние оборудования в режиме реального времени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. Также предусмотрены различные функции защиты: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от короткого замыкания, сверхтока, перегрузки и т. д.</w:t>
                  </w:r>
                </w:p>
                <w:p w14:paraId="036A7191">
                  <w:pPr>
                    <w:keepNext w:val="0"/>
                    <w:keepLines w:val="0"/>
                    <w:widowControl/>
                    <w:numPr>
                      <w:ilvl w:val="0"/>
                      <w:numId w:val="1"/>
                    </w:numPr>
                    <w:suppressLineNumbers w:val="0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z w:val="20"/>
                      <w:szCs w:val="20"/>
                    </w:rPr>
                  </w:pPr>
                  <w:r>
                    <w:rPr>
                      <w:rFonts w:hint="default" w:ascii="Times New Roman Regular" w:hAnsi="Times New Roman Regular" w:eastAsia="-webkit-standard" w:cs="Times New Roman Regular"/>
                      <w:b w:val="0"/>
                      <w:i w:val="0"/>
                      <w:iCs w:val="0"/>
                      <w:caps w:val="0"/>
                      <w:snapToGrid w:val="0"/>
                      <w:color w:val="000000"/>
                      <w:spacing w:val="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Распределительный шкаф должен эксплуатироваться квалифицированным персоналом. Во время грозы, сильного дождя, тайфуна и других неблагоприятных погодных условий распределительный шкаф не следует использовать. Если в работе распределительного шкафа обнаружены какие-либо неисправности или отклонения, повторно включать его можно только после того, как специалист устранит проблему.</w:t>
                  </w:r>
                </w:p>
                <w:p w14:paraId="3A925114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 w:firstLine="0"/>
                    <w:jc w:val="both"/>
                    <w:rPr>
                      <w:rFonts w:hint="default" w:ascii="Times New Roman Regular" w:hAnsi="Times New Roman Regular" w:cs="Times New Roman Regular"/>
                      <w:sz w:val="20"/>
                      <w:szCs w:val="20"/>
                      <w:lang w:eastAsia="zh-CN"/>
                    </w:rPr>
                  </w:pPr>
                  <w:r>
                    <w:rPr>
                      <w:rStyle w:val="8"/>
                      <w:rFonts w:hint="default" w:ascii="Times New Roman Regular" w:hAnsi="Times New Roman Regular" w:cs="Times New Roman Regular"/>
                      <w:b/>
                      <w:bCs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5.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/>
                      <w:bCs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Распределительный шкаф не следует использовать во влажной, запылённой или коррозионно-агрессивной среде. В месте установки распределительного шкафа не должно быть значительного количества токопроводящей пыли, а также коррозионных, легковоспламеняющихся и взрывоопасных веществ, способных негативно воздействовать на металл и изоляцию.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Конструкция изделия соответствует требованиям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сертификации CQC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, а также стандартам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IEC 60439-2, GB 7251.1, GB 7251.3, GB 7251.8 и IEC 60439-1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.</w:t>
                  </w:r>
                </w:p>
                <w:p w14:paraId="58C7806B">
                  <w:pPr>
                    <w:pStyle w:val="4"/>
                    <w:spacing w:before="97" w:line="183" w:lineRule="auto"/>
                    <w:rPr>
                      <w:rFonts w:hint="default"/>
                      <w:lang w:val="en-US" w:eastAsia="zh-CN"/>
                    </w:rPr>
                  </w:pPr>
                </w:p>
                <w:p w14:paraId="0BF75311">
                  <w:pPr>
                    <w:pStyle w:val="4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  <w:p w14:paraId="3030231C">
                  <w:pPr>
                    <w:pStyle w:val="4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</w:txbxContent>
            </v:textbox>
          </v:shape>
        </w:pict>
      </w:r>
    </w:p>
    <w:p w14:paraId="22466354">
      <w:pPr>
        <w:spacing w:line="242" w:lineRule="auto"/>
      </w:pPr>
    </w:p>
    <w:p w14:paraId="6CDF0E96">
      <w:pPr>
        <w:spacing w:line="242" w:lineRule="auto"/>
      </w:pPr>
    </w:p>
    <w:p w14:paraId="2A3010E5">
      <w:pPr>
        <w:spacing w:line="242" w:lineRule="auto"/>
      </w:pPr>
    </w:p>
    <w:p w14:paraId="588ADCA8">
      <w:pPr>
        <w:spacing w:line="242" w:lineRule="auto"/>
      </w:pPr>
    </w:p>
    <w:p w14:paraId="42969E67">
      <w:pPr>
        <w:spacing w:line="242" w:lineRule="auto"/>
      </w:pPr>
    </w:p>
    <w:p w14:paraId="65EA6BC9">
      <w:pPr>
        <w:spacing w:line="242" w:lineRule="auto"/>
      </w:pPr>
    </w:p>
    <w:p w14:paraId="31D1FCC2">
      <w:pPr>
        <w:spacing w:line="242" w:lineRule="auto"/>
      </w:pPr>
    </w:p>
    <w:p w14:paraId="046AE76E">
      <w:pPr>
        <w:spacing w:line="242" w:lineRule="auto"/>
      </w:pPr>
    </w:p>
    <w:p w14:paraId="1E71B138">
      <w:pPr>
        <w:spacing w:line="242" w:lineRule="auto"/>
      </w:pPr>
    </w:p>
    <w:p w14:paraId="419952E0">
      <w:pPr>
        <w:spacing w:line="242" w:lineRule="auto"/>
      </w:pPr>
    </w:p>
    <w:p w14:paraId="12822CFD">
      <w:pPr>
        <w:spacing w:line="242" w:lineRule="auto"/>
      </w:pPr>
    </w:p>
    <w:p w14:paraId="1207B909">
      <w:pPr>
        <w:spacing w:line="242" w:lineRule="auto"/>
      </w:pPr>
    </w:p>
    <w:p w14:paraId="437A57DC">
      <w:pPr>
        <w:spacing w:line="242" w:lineRule="auto"/>
      </w:pPr>
    </w:p>
    <w:p w14:paraId="79BB7774">
      <w:pPr>
        <w:spacing w:line="242" w:lineRule="auto"/>
      </w:pPr>
    </w:p>
    <w:p w14:paraId="4557A15D">
      <w:pPr>
        <w:spacing w:line="242" w:lineRule="auto"/>
      </w:pPr>
    </w:p>
    <w:p w14:paraId="71B5FE48">
      <w:pPr>
        <w:spacing w:line="242" w:lineRule="auto"/>
      </w:pPr>
    </w:p>
    <w:p w14:paraId="129C5DF2">
      <w:pPr>
        <w:spacing w:line="242" w:lineRule="auto"/>
      </w:pPr>
    </w:p>
    <w:p w14:paraId="440F7431">
      <w:pPr>
        <w:spacing w:line="242" w:lineRule="auto"/>
      </w:pPr>
    </w:p>
    <w:p w14:paraId="383EF0AD">
      <w:pPr>
        <w:spacing w:line="242" w:lineRule="auto"/>
      </w:pPr>
    </w:p>
    <w:p w14:paraId="4C9AB422">
      <w:pPr>
        <w:spacing w:line="242" w:lineRule="auto"/>
      </w:pPr>
    </w:p>
    <w:p w14:paraId="02C65542">
      <w:pPr>
        <w:spacing w:line="242" w:lineRule="auto"/>
      </w:pPr>
    </w:p>
    <w:p w14:paraId="786A8905">
      <w:pPr>
        <w:spacing w:line="242" w:lineRule="auto"/>
      </w:pPr>
    </w:p>
    <w:p w14:paraId="1AAC3B88">
      <w:pPr>
        <w:spacing w:line="242" w:lineRule="auto"/>
      </w:pPr>
    </w:p>
    <w:p w14:paraId="1057C7D0">
      <w:pPr>
        <w:spacing w:line="242" w:lineRule="auto"/>
      </w:pPr>
    </w:p>
    <w:p w14:paraId="7F25FF1E">
      <w:pPr>
        <w:spacing w:line="242" w:lineRule="auto"/>
      </w:pPr>
    </w:p>
    <w:p w14:paraId="40D014DA">
      <w:pPr>
        <w:spacing w:line="242" w:lineRule="auto"/>
      </w:pPr>
    </w:p>
    <w:p w14:paraId="2D470DE9">
      <w:pPr>
        <w:spacing w:line="242" w:lineRule="auto"/>
      </w:pPr>
    </w:p>
    <w:p w14:paraId="071C9C3D">
      <w:pPr>
        <w:spacing w:line="242" w:lineRule="auto"/>
      </w:pPr>
    </w:p>
    <w:p w14:paraId="58F7B33D">
      <w:pPr>
        <w:spacing w:line="242" w:lineRule="auto"/>
      </w:pPr>
    </w:p>
    <w:p w14:paraId="1EAAEA00">
      <w:pPr>
        <w:spacing w:line="242" w:lineRule="auto"/>
      </w:pPr>
    </w:p>
    <w:p w14:paraId="44504BC0">
      <w:pPr>
        <w:spacing w:line="242" w:lineRule="auto"/>
      </w:pPr>
    </w:p>
    <w:p w14:paraId="1865DA9F">
      <w:pPr>
        <w:spacing w:line="242" w:lineRule="auto"/>
      </w:pPr>
    </w:p>
    <w:p w14:paraId="12E629A8">
      <w:pPr>
        <w:spacing w:line="242" w:lineRule="auto"/>
      </w:pPr>
    </w:p>
    <w:p w14:paraId="7149F037">
      <w:pPr>
        <w:spacing w:line="242" w:lineRule="auto"/>
      </w:pPr>
    </w:p>
    <w:p w14:paraId="73880BCE">
      <w:pPr>
        <w:spacing w:line="242" w:lineRule="auto"/>
      </w:pPr>
    </w:p>
    <w:p w14:paraId="09A9FDE5">
      <w:pPr>
        <w:spacing w:line="242" w:lineRule="auto"/>
      </w:pPr>
    </w:p>
    <w:p w14:paraId="03395AAC">
      <w:pPr>
        <w:spacing w:line="242" w:lineRule="auto"/>
      </w:pPr>
    </w:p>
    <w:p w14:paraId="3FE7B202">
      <w:pPr>
        <w:spacing w:line="242" w:lineRule="auto"/>
      </w:pPr>
    </w:p>
    <w:p w14:paraId="14800CFE">
      <w:pPr>
        <w:spacing w:line="242" w:lineRule="auto"/>
      </w:pPr>
    </w:p>
    <w:p w14:paraId="4BF968F9">
      <w:pPr>
        <w:spacing w:line="243" w:lineRule="auto"/>
      </w:pPr>
    </w:p>
    <w:p w14:paraId="72119F33">
      <w:pPr>
        <w:spacing w:line="243" w:lineRule="auto"/>
      </w:pPr>
    </w:p>
    <w:p w14:paraId="635EBDC3">
      <w:pPr>
        <w:spacing w:line="243" w:lineRule="auto"/>
      </w:pPr>
    </w:p>
    <w:p w14:paraId="72CE8C29">
      <w:pPr>
        <w:spacing w:line="243" w:lineRule="auto"/>
      </w:pPr>
    </w:p>
    <w:p w14:paraId="31146D9F">
      <w:pPr>
        <w:spacing w:line="243" w:lineRule="auto"/>
      </w:pPr>
    </w:p>
    <w:p w14:paraId="0B16EBB9">
      <w:pPr>
        <w:spacing w:line="243" w:lineRule="auto"/>
      </w:pPr>
    </w:p>
    <w:p w14:paraId="74965D06">
      <w:pPr>
        <w:spacing w:line="243" w:lineRule="auto"/>
      </w:pPr>
    </w:p>
    <w:p w14:paraId="52030C1F">
      <w:pPr>
        <w:spacing w:line="243" w:lineRule="auto"/>
      </w:pPr>
    </w:p>
    <w:p w14:paraId="1CC68312">
      <w:pPr>
        <w:spacing w:line="243" w:lineRule="auto"/>
      </w:pPr>
    </w:p>
    <w:p w14:paraId="5567594D">
      <w:pPr>
        <w:spacing w:line="243" w:lineRule="auto"/>
      </w:pPr>
    </w:p>
    <w:p w14:paraId="14FCEECE">
      <w:pPr>
        <w:spacing w:line="243" w:lineRule="auto"/>
      </w:pPr>
    </w:p>
    <w:p w14:paraId="7691BFC8">
      <w:pPr>
        <w:spacing w:line="243" w:lineRule="auto"/>
      </w:pPr>
    </w:p>
    <w:p w14:paraId="1874593B">
      <w:pPr>
        <w:spacing w:line="243" w:lineRule="auto"/>
      </w:pPr>
    </w:p>
    <w:p w14:paraId="6461015A">
      <w:pPr>
        <w:spacing w:line="243" w:lineRule="auto"/>
      </w:pPr>
    </w:p>
    <w:p w14:paraId="16BBEB9A">
      <w:pPr>
        <w:spacing w:line="243" w:lineRule="auto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9" w:h="16834"/>
          <w:pgMar w:top="0" w:right="0" w:bottom="0" w:left="0" w:header="0" w:footer="0" w:gutter="0"/>
          <w:cols w:space="720" w:num="1"/>
        </w:sectPr>
      </w:pPr>
    </w:p>
    <w:p w14:paraId="22D73555">
      <w:pPr>
        <w:spacing w:line="241" w:lineRule="auto"/>
        <w:rPr>
          <w:lang w:eastAsia="zh-CN"/>
        </w:rPr>
      </w:pPr>
    </w:p>
    <w:p w14:paraId="658991F4">
      <w:pPr>
        <w:spacing w:line="241" w:lineRule="auto"/>
        <w:rPr>
          <w:lang w:eastAsia="zh-CN"/>
        </w:rPr>
      </w:pPr>
    </w:p>
    <w:p w14:paraId="225AFD8A">
      <w:pPr>
        <w:spacing w:line="291" w:lineRule="auto"/>
        <w:rPr>
          <w:color w:val="C00000"/>
          <w:spacing w:val="-1"/>
          <w:position w:val="-1"/>
          <w:sz w:val="24"/>
          <w:szCs w:val="24"/>
          <w:lang w:eastAsia="zh-CN"/>
        </w:rPr>
      </w:pPr>
      <w:bookmarkStart w:id="1" w:name="_Hlk148375891"/>
    </w:p>
    <w:bookmarkEnd w:id="1"/>
    <w:p w14:paraId="3E334D5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bookmarkStart w:id="2" w:name="_Hlk148375909"/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0"/>
          <w:szCs w:val="20"/>
        </w:rPr>
        <w:t>Предупреждение: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0"/>
          <w:szCs w:val="20"/>
        </w:rPr>
        <w:t> 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из-за особенностей принципа работы LED-дисплея ток в нулевом проводе LED-дисплея может быть выше тока в фазном проводе, что создаёт серьёзную угрозу безопасности.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 xml:space="preserve">Основная причина повышенного тока в нулевом проводе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-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третья гармоника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 Третья гармоника возникает из-за импульсных источников питания. При преобразовании переменного напряжения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220 В в постоянное 5 В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возникают гармони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>ки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, в основном третья гармоника.</w:t>
      </w:r>
    </w:p>
    <w:p w14:paraId="6B16380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Кроме того, LED-дисплей постоянно воспроизводит динамическое изображение, поэтому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неравномерная нагрузка между тремя фазами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 также может приводить к возникновению тока в нулевом проводе.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Как правило, ток в нулевом проводе LED-дисплея составляет примерно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в 2 раза больше тока в одном фазном проводе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</w:t>
      </w:r>
    </w:p>
    <w:p w14:paraId="405AEBF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Например, для LED-дисплея мощностью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200 кВт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 при полной нагрузке ток в фазном проводе составляет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300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, а ток в нулевом проводе может достигать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600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</w:t>
      </w:r>
    </w:p>
    <w:p w14:paraId="25397FBC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Если для фаз используется соответствующий требованиям национального стандарта КНР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4×120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, то для нулевого провода необходимо использовать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4×240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</w:t>
      </w:r>
    </w:p>
    <w:p w14:paraId="157FEA06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i w:val="0"/>
          <w:iCs w:val="0"/>
          <w:caps w:val="0"/>
          <w:color w:val="FF0000"/>
          <w:spacing w:val="0"/>
          <w:sz w:val="20"/>
          <w:szCs w:val="20"/>
        </w:rPr>
      </w:pPr>
      <w:r>
        <w:rPr>
          <w:i w:val="0"/>
          <w:iCs w:val="0"/>
          <w:caps w:val="0"/>
          <w:color w:val="FF0000"/>
          <w:spacing w:val="0"/>
          <w:sz w:val="20"/>
          <w:szCs w:val="20"/>
        </w:rPr>
        <w:t>Для LED-дисплеев площадью более 100 м² проектировщику следует рекомендовать заказчику использовать устройство для устранения тока в нулевом проводе. Чем больше площадь LED-дисплея, тем больше внимания необходимо уделять этому вопросу.</w:t>
      </w:r>
    </w:p>
    <w:p w14:paraId="0645798F">
      <w:pPr>
        <w:spacing w:line="291" w:lineRule="auto"/>
        <w:rPr>
          <w:rFonts w:hint="default" w:ascii="Times New Roman Regular" w:hAnsi="Times New Roman Regular" w:cs="Times New Roman Regular"/>
          <w:color w:val="FF0000"/>
          <w:spacing w:val="-1"/>
          <w:position w:val="-1"/>
          <w:sz w:val="20"/>
          <w:szCs w:val="20"/>
          <w:lang w:val="en-US" w:eastAsia="zh-CN"/>
        </w:rPr>
      </w:pPr>
    </w:p>
    <w:p w14:paraId="00C040FB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>Способы решения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 xml:space="preserve"> 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 xml:space="preserve">проблемы с повышенным током в нулевом проводе: </w:t>
      </w:r>
    </w:p>
    <w:p w14:paraId="4B2BC21F"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>У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 xml:space="preserve">величить сечение кабеля нулевого провода; </w:t>
      </w:r>
    </w:p>
    <w:p w14:paraId="311FAEEF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 xml:space="preserve">спользовать устройство для устранения тока в нулевом проводе; </w:t>
      </w:r>
    </w:p>
    <w:p w14:paraId="35AAED2E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default" w:ascii="Times New Roman Regular" w:hAnsi="Times New Roman Regular" w:cs="Times New Roman Regular"/>
          <w:color w:val="FF0000"/>
          <w:sz w:val="20"/>
          <w:szCs w:val="20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>спользовать полностью изолированный распределительный шкаф постоянного тока с PFC.</w:t>
      </w:r>
    </w:p>
    <w:p w14:paraId="61F2C9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left="1470" w:leftChars="700" w:right="945" w:rightChars="450"/>
        <w:textAlignment w:val="baseline"/>
        <w:rPr>
          <w:rFonts w:hint="eastAsia"/>
          <w:b/>
          <w:bCs/>
          <w:color w:val="C00000"/>
          <w:spacing w:val="-1"/>
          <w:position w:val="-1"/>
          <w:sz w:val="28"/>
          <w:szCs w:val="28"/>
          <w:lang w:val="en-US" w:eastAsia="zh-CN"/>
        </w:rPr>
      </w:pPr>
    </w:p>
    <w:p w14:paraId="66FA451E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1752465B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5FB7A3D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126DB584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2813423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519296E2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4B7E160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55F4DD64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5DC0389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AFD1526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203BF106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47AEC8E7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1B99F1A8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0100852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17D7706B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6835890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D87B7B3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ru-RU" w:eastAsia="en-US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II. Технические параме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тры</w:t>
      </w:r>
    </w:p>
    <w:p w14:paraId="6B761F3F">
      <w:pPr>
        <w:spacing w:before="104" w:line="223" w:lineRule="auto"/>
        <w:outlineLvl w:val="0"/>
        <w:rPr>
          <w:rFonts w:hint="default"/>
          <w:lang w:val="ru-RU" w:eastAsia="en-US"/>
        </w:rPr>
      </w:pPr>
    </w:p>
    <w:tbl>
      <w:tblPr>
        <w:tblStyle w:val="9"/>
        <w:tblpPr w:leftFromText="180" w:rightFromText="180" w:vertAnchor="text" w:horzAnchor="page" w:tblpX="995" w:tblpY="749"/>
        <w:tblOverlap w:val="never"/>
        <w:tblW w:w="934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360"/>
        <w:gridCol w:w="1746"/>
        <w:gridCol w:w="5855"/>
      </w:tblGrid>
      <w:tr w14:paraId="6E4B0C64">
        <w:trPr>
          <w:trHeight w:val="582" w:hRule="atLeast"/>
        </w:trPr>
        <w:tc>
          <w:tcPr>
            <w:tcW w:w="3491" w:type="dxa"/>
            <w:gridSpan w:val="3"/>
            <w:shd w:val="clear" w:color="auto" w:fill="F1F1F1"/>
          </w:tcPr>
          <w:p w14:paraId="0C4A1A62">
            <w:pPr>
              <w:pStyle w:val="10"/>
              <w:spacing w:before="187" w:line="180" w:lineRule="auto"/>
              <w:ind w:left="112"/>
              <w:rPr>
                <w:rFonts w:hint="default"/>
                <w:lang w:val="ru-RU"/>
              </w:rPr>
            </w:pPr>
            <w:r>
              <w:rPr>
                <w:lang w:val="ru-RU"/>
              </w:rPr>
              <w:t>Модель</w:t>
            </w:r>
          </w:p>
        </w:tc>
        <w:tc>
          <w:tcPr>
            <w:tcW w:w="5855" w:type="dxa"/>
          </w:tcPr>
          <w:p w14:paraId="4F8845FE">
            <w:pPr>
              <w:pStyle w:val="10"/>
              <w:spacing w:before="201" w:line="172" w:lineRule="auto"/>
              <w:ind w:left="128"/>
              <w:rPr>
                <w:rFonts w:hint="default" w:eastAsia="Microsoft YaHei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HX21-3</w:t>
            </w:r>
          </w:p>
        </w:tc>
      </w:tr>
      <w:tr w14:paraId="679740E3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28D65A57">
            <w:pPr>
              <w:pStyle w:val="10"/>
              <w:spacing w:before="175" w:line="184" w:lineRule="auto"/>
              <w:ind w:left="111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/>
              </w:rPr>
              <w:t>Способ установки</w:t>
            </w:r>
          </w:p>
        </w:tc>
        <w:tc>
          <w:tcPr>
            <w:tcW w:w="5855" w:type="dxa"/>
          </w:tcPr>
          <w:p w14:paraId="2718CE64">
            <w:pPr>
              <w:pStyle w:val="7"/>
              <w:keepNext w:val="0"/>
              <w:keepLines w:val="0"/>
              <w:widowControl/>
              <w:suppressLineNumbers w:val="0"/>
              <w:ind w:left="0" w:firstLine="0"/>
              <w:rPr>
                <w:rFonts w:hint="eastAsia" w:eastAsia="Microsoft YaHei"/>
                <w:lang w:eastAsia="zh-CN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Настенный, встраиваемый</w:t>
            </w:r>
          </w:p>
        </w:tc>
      </w:tr>
      <w:tr w14:paraId="2B511182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060F36A6">
            <w:pPr>
              <w:spacing w:line="364" w:lineRule="auto"/>
            </w:pPr>
          </w:p>
          <w:p w14:paraId="4577DE86">
            <w:pPr>
              <w:pStyle w:val="10"/>
              <w:spacing w:before="103" w:line="183" w:lineRule="auto"/>
              <w:ind w:left="111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  <w:t>Способ управления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5A903111">
            <w:pPr>
              <w:pStyle w:val="10"/>
              <w:spacing w:before="179" w:line="183" w:lineRule="auto"/>
              <w:ind w:left="109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/>
              </w:rPr>
              <w:t>Ручное управление</w:t>
            </w:r>
          </w:p>
        </w:tc>
        <w:tc>
          <w:tcPr>
            <w:tcW w:w="5855" w:type="dxa"/>
          </w:tcPr>
          <w:p w14:paraId="387BACB5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eastAsia="Microsoft YaHei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Ручное и автоматическое управление</w:t>
            </w:r>
          </w:p>
        </w:tc>
      </w:tr>
      <w:tr w14:paraId="7AD117CB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5D992C8C"/>
        </w:tc>
        <w:tc>
          <w:tcPr>
            <w:tcW w:w="2106" w:type="dxa"/>
            <w:gridSpan w:val="2"/>
            <w:shd w:val="clear" w:color="auto" w:fill="F1F1F1"/>
          </w:tcPr>
          <w:p w14:paraId="30F4FBD6">
            <w:pPr>
              <w:pStyle w:val="10"/>
              <w:spacing w:before="178" w:line="183" w:lineRule="auto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Автоматическое управление (опционально)</w:t>
            </w:r>
          </w:p>
        </w:tc>
        <w:tc>
          <w:tcPr>
            <w:tcW w:w="5855" w:type="dxa"/>
          </w:tcPr>
          <w:p w14:paraId="1CD1DAE9">
            <w:pPr>
              <w:pStyle w:val="10"/>
              <w:spacing w:before="179" w:line="182" w:lineRule="auto"/>
              <w:rPr>
                <w:rFonts w:hint="default" w:eastAsia="Microsoft YaHei"/>
                <w:lang w:val="en-US" w:eastAsia="zh-CN"/>
              </w:rPr>
            </w:pPr>
            <w:r>
              <w:rPr>
                <w:rFonts w:hint="default" w:ascii="Times New Roman Regular" w:hAnsi="Times New Roman Regular" w:eastAsia="-webkit-standard" w:cs="Times New Roman Regular"/>
                <w:b w:val="0"/>
                <w:bCs w:val="0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Управление по времени, дистанционное управление, управление через облачный сервис с телефона, управление с помощью многофункциональной карты, управление сухим контактом, управление с компьютера через PLC, управление с центрального планшета, управление по локальной сети или через Интернет и т. д.</w:t>
            </w:r>
          </w:p>
        </w:tc>
      </w:tr>
      <w:tr w14:paraId="142D90BC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191E56DE">
            <w:pPr>
              <w:spacing w:line="314" w:lineRule="auto"/>
            </w:pPr>
          </w:p>
          <w:p w14:paraId="22B1423C">
            <w:pPr>
              <w:spacing w:line="314" w:lineRule="auto"/>
            </w:pPr>
          </w:p>
          <w:p w14:paraId="5A642BC9">
            <w:pPr>
              <w:spacing w:line="314" w:lineRule="auto"/>
            </w:pPr>
          </w:p>
          <w:p w14:paraId="62751913">
            <w:pPr>
              <w:pStyle w:val="10"/>
              <w:spacing w:before="103" w:line="183" w:lineRule="auto"/>
              <w:ind w:left="11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17353ED3">
            <w:pPr>
              <w:pStyle w:val="10"/>
              <w:spacing w:before="178" w:line="183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Способ подключения</w:t>
            </w:r>
          </w:p>
        </w:tc>
        <w:tc>
          <w:tcPr>
            <w:tcW w:w="5855" w:type="dxa"/>
          </w:tcPr>
          <w:p w14:paraId="2D566160">
            <w:pPr>
              <w:pStyle w:val="10"/>
              <w:spacing w:before="177" w:line="184" w:lineRule="auto"/>
              <w:rPr>
                <w:rFonts w:hint="eastAsia" w:eastAsia="Microsoft YaHei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 w:eastAsia="zh-CN"/>
              </w:rPr>
              <w:t>Трехфазная пятипроводная система</w:t>
            </w:r>
          </w:p>
        </w:tc>
      </w:tr>
      <w:tr w14:paraId="33BD4763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4999913A"/>
        </w:tc>
        <w:tc>
          <w:tcPr>
            <w:tcW w:w="2106" w:type="dxa"/>
            <w:gridSpan w:val="2"/>
            <w:shd w:val="clear" w:color="auto" w:fill="F1F1F1"/>
          </w:tcPr>
          <w:p w14:paraId="1E6EB892">
            <w:pPr>
              <w:pStyle w:val="10"/>
              <w:spacing w:before="180" w:line="182" w:lineRule="auto"/>
              <w:ind w:left="107"/>
              <w:rPr>
                <w:rFonts w:hint="eastAsia" w:eastAsia="Microsoft YaHei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 w:eastAsia="zh-CN"/>
              </w:rPr>
              <w:t>Входное напряжение, частота</w:t>
            </w:r>
          </w:p>
        </w:tc>
        <w:tc>
          <w:tcPr>
            <w:tcW w:w="5855" w:type="dxa"/>
          </w:tcPr>
          <w:p w14:paraId="4023E01F">
            <w:pPr>
              <w:pStyle w:val="10"/>
              <w:spacing w:before="182" w:line="181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Трёхфазное напряжение 380 В, 50/60 Гц</w:t>
            </w:r>
          </w:p>
        </w:tc>
      </w:tr>
      <w:tr w14:paraId="7C1D2EC7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0CAB5C5F"/>
        </w:tc>
        <w:tc>
          <w:tcPr>
            <w:tcW w:w="2106" w:type="dxa"/>
            <w:gridSpan w:val="2"/>
            <w:shd w:val="clear" w:color="auto" w:fill="F1F1F1"/>
          </w:tcPr>
          <w:p w14:paraId="5A2C2773">
            <w:pPr>
              <w:pStyle w:val="10"/>
              <w:spacing w:before="180" w:line="183" w:lineRule="auto"/>
              <w:ind w:left="106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  <w:t>Максимальная</w:t>
            </w:r>
            <w:bookmarkStart w:id="4" w:name="_GoBack"/>
            <w:bookmarkEnd w:id="4"/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  <w:t xml:space="preserve"> мощность</w:t>
            </w:r>
          </w:p>
        </w:tc>
        <w:tc>
          <w:tcPr>
            <w:tcW w:w="5855" w:type="dxa"/>
          </w:tcPr>
          <w:p w14:paraId="1BA30B1A">
            <w:pPr>
              <w:pStyle w:val="7"/>
              <w:keepNext w:val="0"/>
              <w:keepLines w:val="0"/>
              <w:widowControl/>
              <w:suppressLineNumbers w:val="0"/>
              <w:ind w:left="0" w:firstLine="0"/>
              <w:rPr>
                <w:sz w:val="24"/>
                <w:szCs w:val="24"/>
              </w:rPr>
            </w:pPr>
            <w:r>
              <w:rPr>
                <w:rStyle w:val="8"/>
                <w:i w:val="0"/>
                <w:iCs w:val="0"/>
                <w:caps w:val="0"/>
                <w:color w:val="000000"/>
                <w:spacing w:val="0"/>
              </w:rPr>
              <w:t>21 кВт</w:t>
            </w:r>
          </w:p>
        </w:tc>
      </w:tr>
      <w:tr w14:paraId="0C61255A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4E51E8EF"/>
        </w:tc>
        <w:tc>
          <w:tcPr>
            <w:tcW w:w="2106" w:type="dxa"/>
            <w:gridSpan w:val="2"/>
            <w:shd w:val="clear" w:color="auto" w:fill="F1F1F1"/>
          </w:tcPr>
          <w:p w14:paraId="59854847">
            <w:pPr>
              <w:pStyle w:val="10"/>
              <w:spacing w:before="182" w:line="182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Входной кабель</w:t>
            </w:r>
          </w:p>
        </w:tc>
        <w:tc>
          <w:tcPr>
            <w:tcW w:w="5855" w:type="dxa"/>
          </w:tcPr>
          <w:p w14:paraId="313EB4B2">
            <w:pPr>
              <w:pStyle w:val="7"/>
              <w:keepNext w:val="0"/>
              <w:keepLines w:val="0"/>
              <w:widowControl/>
              <w:suppressLineNumbers w:val="0"/>
              <w:ind w:left="0" w:firstLine="0"/>
              <w:rPr>
                <w:sz w:val="24"/>
                <w:szCs w:val="24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YJV — 4×6 мм² + 2,5 мм²</w:t>
            </w:r>
          </w:p>
        </w:tc>
      </w:tr>
      <w:tr w14:paraId="52082ACC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33CFADCF">
            <w:pPr>
              <w:spacing w:line="246" w:lineRule="auto"/>
            </w:pPr>
          </w:p>
          <w:p w14:paraId="35630D21">
            <w:pPr>
              <w:spacing w:line="246" w:lineRule="auto"/>
            </w:pPr>
          </w:p>
          <w:p w14:paraId="27706B56">
            <w:pPr>
              <w:spacing w:line="247" w:lineRule="auto"/>
            </w:pPr>
          </w:p>
          <w:p w14:paraId="7BA46250">
            <w:pPr>
              <w:spacing w:line="247" w:lineRule="auto"/>
            </w:pPr>
          </w:p>
          <w:p w14:paraId="6389ECD9">
            <w:pPr>
              <w:spacing w:line="247" w:lineRule="auto"/>
            </w:pPr>
          </w:p>
          <w:p w14:paraId="48937570">
            <w:pPr>
              <w:pStyle w:val="10"/>
              <w:spacing w:before="103" w:line="183" w:lineRule="auto"/>
              <w:ind w:left="11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26C62421">
            <w:pPr>
              <w:pStyle w:val="10"/>
              <w:spacing w:before="179" w:line="183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Способ подключения</w:t>
            </w:r>
          </w:p>
        </w:tc>
        <w:tc>
          <w:tcPr>
            <w:tcW w:w="5855" w:type="dxa"/>
          </w:tcPr>
          <w:p w14:paraId="74A0CC03">
            <w:pPr>
              <w:pStyle w:val="7"/>
              <w:keepNext w:val="0"/>
              <w:keepLines w:val="0"/>
              <w:widowControl/>
              <w:suppressLineNumbers w:val="0"/>
              <w:ind w:left="0" w:firstLine="0"/>
              <w:rPr>
                <w:rFonts w:hint="default"/>
                <w:lang w:val="en-US" w:eastAsia="zh-CN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Однофазная двухпроводная система + заземление</w:t>
            </w:r>
          </w:p>
        </w:tc>
      </w:tr>
      <w:tr w14:paraId="13430DE8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52602F0C">
            <w:pPr>
              <w:rPr>
                <w:lang w:eastAsia="zh-CN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07216AF5">
            <w:pPr>
              <w:pStyle w:val="10"/>
              <w:spacing w:before="181" w:line="182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Выходное напряжение</w:t>
            </w:r>
          </w:p>
        </w:tc>
        <w:tc>
          <w:tcPr>
            <w:tcW w:w="5855" w:type="dxa"/>
          </w:tcPr>
          <w:p w14:paraId="453CFC22">
            <w:pPr>
              <w:pStyle w:val="10"/>
              <w:spacing w:before="179" w:line="183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Переменное напряжение 220 В</w:t>
            </w:r>
          </w:p>
        </w:tc>
      </w:tr>
      <w:tr w14:paraId="057F6647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12C5E232"/>
        </w:tc>
        <w:tc>
          <w:tcPr>
            <w:tcW w:w="2106" w:type="dxa"/>
            <w:gridSpan w:val="2"/>
            <w:shd w:val="clear" w:color="auto" w:fill="F1F1F1"/>
          </w:tcPr>
          <w:p w14:paraId="2D2704E2">
            <w:pPr>
              <w:pStyle w:val="10"/>
              <w:spacing w:before="181" w:line="183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Мощность одной линии</w:t>
            </w:r>
          </w:p>
        </w:tc>
        <w:tc>
          <w:tcPr>
            <w:tcW w:w="5855" w:type="dxa"/>
          </w:tcPr>
          <w:p w14:paraId="00BDDBEC">
            <w:pPr>
              <w:pStyle w:val="7"/>
              <w:keepNext w:val="0"/>
              <w:keepLines w:val="0"/>
              <w:widowControl/>
              <w:suppressLineNumbers w:val="0"/>
              <w:ind w:left="0" w:firstLine="0"/>
              <w:rPr>
                <w:rFonts w:hint="default" w:eastAsia="SimSun"/>
                <w:sz w:val="24"/>
                <w:szCs w:val="24"/>
                <w:lang w:val="en-US" w:eastAsia="zh-CN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Макс. 7 кВт (рекомендуемая фактическая нагрузка ≤ 5,6 кВт)</w:t>
            </w:r>
          </w:p>
        </w:tc>
      </w:tr>
      <w:tr w14:paraId="7279A71A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7BF364CB"/>
        </w:tc>
        <w:tc>
          <w:tcPr>
            <w:tcW w:w="2106" w:type="dxa"/>
            <w:gridSpan w:val="2"/>
            <w:shd w:val="clear" w:color="auto" w:fill="F1F1F1"/>
          </w:tcPr>
          <w:p w14:paraId="38F0111E">
            <w:pPr>
              <w:pStyle w:val="10"/>
              <w:spacing w:before="180" w:line="183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Количество выходных линий</w:t>
            </w:r>
          </w:p>
        </w:tc>
        <w:tc>
          <w:tcPr>
            <w:tcW w:w="5855" w:type="dxa"/>
          </w:tcPr>
          <w:p w14:paraId="70E59E33">
            <w:pPr>
              <w:spacing w:before="153" w:line="198" w:lineRule="auto"/>
              <w:ind w:left="139"/>
              <w:rPr>
                <w:rFonts w:hint="eastAsia" w:eastAsia="SimSun"/>
                <w:sz w:val="24"/>
                <w:szCs w:val="24"/>
                <w:lang w:eastAsia="zh-CN"/>
              </w:rPr>
            </w:pPr>
            <w:r>
              <w:rPr>
                <w:rFonts w:hint="eastAsia" w:eastAsia="SimSun"/>
                <w:spacing w:val="-9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3</w:t>
            </w:r>
          </w:p>
        </w:tc>
      </w:tr>
      <w:tr w14:paraId="6CB1818C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0BBE5FA3"/>
        </w:tc>
        <w:tc>
          <w:tcPr>
            <w:tcW w:w="2106" w:type="dxa"/>
            <w:gridSpan w:val="2"/>
            <w:shd w:val="clear" w:color="auto" w:fill="F1F1F1"/>
          </w:tcPr>
          <w:p w14:paraId="77E02220">
            <w:pPr>
              <w:pStyle w:val="10"/>
              <w:spacing w:before="182" w:line="182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Выходной кабель</w:t>
            </w:r>
          </w:p>
        </w:tc>
        <w:tc>
          <w:tcPr>
            <w:tcW w:w="5855" w:type="dxa"/>
          </w:tcPr>
          <w:p w14:paraId="6DA9319B">
            <w:pPr>
              <w:pStyle w:val="7"/>
              <w:keepNext w:val="0"/>
              <w:keepLines w:val="0"/>
              <w:widowControl/>
              <w:suppressLineNumbers w:val="0"/>
              <w:ind w:left="0" w:firstLine="0"/>
              <w:rPr>
                <w:sz w:val="24"/>
                <w:szCs w:val="24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RVV — 3×4 мм²</w:t>
            </w:r>
          </w:p>
        </w:tc>
      </w:tr>
      <w:tr w14:paraId="6A074880">
        <w:trPr>
          <w:trHeight w:val="575" w:hRule="atLeast"/>
        </w:trPr>
        <w:tc>
          <w:tcPr>
            <w:tcW w:w="1745" w:type="dxa"/>
            <w:gridSpan w:val="2"/>
            <w:shd w:val="clear" w:color="auto" w:fill="F1F1F1"/>
          </w:tcPr>
          <w:p w14:paraId="6945CEA5">
            <w:pPr>
              <w:pStyle w:val="10"/>
              <w:spacing w:before="180" w:line="183" w:lineRule="auto"/>
              <w:ind w:left="111"/>
              <w:rPr>
                <w:rFonts w:hint="eastAsia" w:eastAsia="Microsoft YaHei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Условия эксплуатации</w:t>
            </w:r>
          </w:p>
        </w:tc>
        <w:tc>
          <w:tcPr>
            <w:tcW w:w="1746" w:type="dxa"/>
            <w:shd w:val="clear" w:color="auto" w:fill="F1F1F1"/>
          </w:tcPr>
          <w:p w14:paraId="516D3A85">
            <w:pPr>
              <w:pStyle w:val="10"/>
              <w:spacing w:before="180" w:line="183" w:lineRule="auto"/>
              <w:rPr>
                <w:rFonts w:hint="eastAsia" w:eastAsia="Microsoft YaHei"/>
                <w:spacing w:val="-1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 w:eastAsia="zh-CN"/>
              </w:rPr>
              <w:t>Температура</w:t>
            </w:r>
          </w:p>
        </w:tc>
        <w:tc>
          <w:tcPr>
            <w:tcW w:w="5855" w:type="dxa"/>
          </w:tcPr>
          <w:p w14:paraId="7D6814FA">
            <w:pPr>
              <w:pStyle w:val="10"/>
              <w:spacing w:before="199" w:line="172" w:lineRule="auto"/>
              <w:ind w:left="117"/>
              <w:rPr>
                <w:rFonts w:hint="default" w:eastAsia="Microsoft YaHei"/>
                <w:spacing w:val="-3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-20℃-60℃</w:t>
            </w:r>
          </w:p>
        </w:tc>
      </w:tr>
      <w:tr w14:paraId="55AF3233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6B4CE811">
            <w:pPr>
              <w:pStyle w:val="10"/>
              <w:spacing w:before="180" w:line="183" w:lineRule="auto"/>
              <w:ind w:left="111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Габариты шкафа</w:t>
            </w:r>
          </w:p>
        </w:tc>
        <w:tc>
          <w:tcPr>
            <w:tcW w:w="5855" w:type="dxa"/>
          </w:tcPr>
          <w:p w14:paraId="38912B1F">
            <w:pPr>
              <w:pStyle w:val="10"/>
              <w:spacing w:before="199" w:line="172" w:lineRule="auto"/>
              <w:ind w:left="117"/>
              <w:rPr>
                <w:rFonts w:hint="default" w:eastAsia="Microsoft YaHei"/>
                <w:lang w:val="ru-RU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В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ысота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4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0 см × ширина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3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0 см × глубина 1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4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 см</w:t>
            </w:r>
          </w:p>
        </w:tc>
      </w:tr>
      <w:tr w14:paraId="6E4C7F3C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47B0AB7A">
            <w:pPr>
              <w:pStyle w:val="10"/>
              <w:spacing w:before="180" w:line="184" w:lineRule="auto"/>
              <w:ind w:left="113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Материал корпуса</w:t>
            </w:r>
          </w:p>
        </w:tc>
        <w:tc>
          <w:tcPr>
            <w:tcW w:w="5855" w:type="dxa"/>
          </w:tcPr>
          <w:p w14:paraId="31AFE60B">
            <w:pPr>
              <w:pStyle w:val="10"/>
              <w:spacing w:before="201" w:line="172" w:lineRule="auto"/>
              <w:ind w:left="117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Холоднокатаная сталь</w:t>
            </w:r>
          </w:p>
        </w:tc>
      </w:tr>
      <w:tr w14:paraId="0472E5E0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1863EE38">
            <w:pPr>
              <w:pStyle w:val="10"/>
              <w:spacing w:before="181" w:line="183" w:lineRule="auto"/>
              <w:ind w:left="111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Бренды комплектующих</w:t>
            </w:r>
          </w:p>
        </w:tc>
        <w:tc>
          <w:tcPr>
            <w:tcW w:w="5855" w:type="dxa"/>
          </w:tcPr>
          <w:p w14:paraId="3913DD43">
            <w:pPr>
              <w:pStyle w:val="10"/>
              <w:spacing w:before="200" w:line="172" w:lineRule="auto"/>
              <w:ind w:left="128"/>
              <w:rPr>
                <w:rFonts w:hint="default" w:eastAsia="Microsoft YaHei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Высококлассная серия 6 компании Delixi (опционально: Chint, Schneider, Siemens, ABB и другие бренды)</w:t>
            </w:r>
          </w:p>
        </w:tc>
      </w:tr>
      <w:tr w14:paraId="13B39BB4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7A274502">
            <w:pPr>
              <w:pStyle w:val="10"/>
              <w:spacing w:before="181" w:line="183" w:lineRule="auto"/>
              <w:ind w:left="13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Степень защиты</w:t>
            </w:r>
          </w:p>
        </w:tc>
        <w:tc>
          <w:tcPr>
            <w:tcW w:w="5855" w:type="dxa"/>
          </w:tcPr>
          <w:p w14:paraId="3700259B">
            <w:pPr>
              <w:pStyle w:val="10"/>
              <w:spacing w:before="179" w:line="184" w:lineRule="auto"/>
              <w:ind w:left="128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>IP</w:t>
            </w:r>
            <w:r>
              <w:rPr>
                <w:rFonts w:hint="eastAsia"/>
                <w:lang w:val="en-US" w:eastAsia="zh-CN"/>
              </w:rPr>
              <w:t>43</w:t>
            </w:r>
          </w:p>
        </w:tc>
      </w:tr>
      <w:tr w14:paraId="04705A6D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674C297">
            <w:pPr>
              <w:pStyle w:val="10"/>
              <w:spacing w:before="183" w:line="183" w:lineRule="auto"/>
              <w:ind w:left="11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Стандарты соответствия</w:t>
            </w:r>
          </w:p>
        </w:tc>
        <w:tc>
          <w:tcPr>
            <w:tcW w:w="5855" w:type="dxa"/>
          </w:tcPr>
          <w:p w14:paraId="073C5DB4">
            <w:pPr>
              <w:spacing w:before="157" w:line="215" w:lineRule="auto"/>
              <w:ind w:left="13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GB/T7251.12-20</w:t>
            </w:r>
            <w:r>
              <w:rPr>
                <w:rFonts w:hint="eastAsia" w:eastAsia="SimSu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2</w:t>
            </w:r>
            <w:r>
              <w:rPr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3</w:t>
            </w:r>
          </w:p>
        </w:tc>
      </w:tr>
      <w:tr w14:paraId="3A293EDC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5C9B17E1">
            <w:pPr>
              <w:pStyle w:val="10"/>
              <w:spacing w:before="183" w:line="183" w:lineRule="auto"/>
              <w:ind w:left="111"/>
              <w:rPr>
                <w:rFonts w:hint="eastAsia" w:eastAsia="Microsoft YaHei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Информация об упаковке</w:t>
            </w:r>
          </w:p>
        </w:tc>
        <w:tc>
          <w:tcPr>
            <w:tcW w:w="5855" w:type="dxa"/>
          </w:tcPr>
          <w:p w14:paraId="333267E5">
            <w:pPr>
              <w:spacing w:before="157" w:line="215" w:lineRule="auto"/>
              <w:rPr>
                <w:rFonts w:hint="eastAsia" w:eastAsia="SimSu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Картонная коробка</w:t>
            </w:r>
          </w:p>
        </w:tc>
      </w:tr>
      <w:tr w14:paraId="09977680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757A1020">
            <w:pPr>
              <w:pStyle w:val="10"/>
              <w:spacing w:before="183" w:line="183" w:lineRule="auto"/>
              <w:ind w:left="111"/>
              <w:rPr>
                <w:rFonts w:hint="eastAsia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Информация о сертификации</w:t>
            </w:r>
          </w:p>
        </w:tc>
        <w:tc>
          <w:tcPr>
            <w:tcW w:w="5855" w:type="dxa"/>
          </w:tcPr>
          <w:p w14:paraId="5C05950F">
            <w:pPr>
              <w:spacing w:before="157" w:line="215" w:lineRule="auto"/>
              <w:rPr>
                <w:rFonts w:hint="default" w:eastAsia="SimSu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CQC, CE, FCC, RoHS, патентные свидетельства и свидетельства об авторских правах на программное обеспечение</w:t>
            </w:r>
          </w:p>
        </w:tc>
      </w:tr>
      <w:bookmarkEnd w:id="2"/>
    </w:tbl>
    <w:p w14:paraId="07876C1A">
      <w:pPr>
        <w:sectPr>
          <w:headerReference r:id="rId11" w:type="first"/>
          <w:headerReference r:id="rId9" w:type="default"/>
          <w:headerReference r:id="rId10" w:type="even"/>
          <w:pgSz w:w="11909" w:h="16834"/>
          <w:pgMar w:top="1440" w:right="1080" w:bottom="1440" w:left="1080" w:header="0" w:footer="0" w:gutter="0"/>
          <w:cols w:space="720" w:num="1"/>
        </w:sectPr>
      </w:pPr>
    </w:p>
    <w:p w14:paraId="722A3422">
      <w:pPr>
        <w:spacing w:before="104" w:line="223" w:lineRule="auto"/>
        <w:outlineLvl w:val="0"/>
        <w:rPr>
          <w:rFonts w:hint="eastAsia" w:ascii="SimHei" w:hAnsi="SimHei" w:eastAsia="SimHei" w:cs="SimHei"/>
          <w:sz w:val="32"/>
          <w:szCs w:val="32"/>
          <w:u w:val="single"/>
          <w:lang w:eastAsia="zh-CN"/>
        </w:rPr>
      </w:pPr>
    </w:p>
    <w:p w14:paraId="5A170E78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III. Эксплуатационные характеристики продукции</w:t>
      </w:r>
    </w:p>
    <w:p w14:paraId="68B16D33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</w:p>
    <w:p w14:paraId="185763E2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1. Основные функции:</w:t>
      </w:r>
    </w:p>
    <w:p w14:paraId="456E69BB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(1) Комплектующие серии 6 высокого класса Delixi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(2) Трёхфазная защита от превышения тока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(3) Индикаторы состояния трёхфазного питания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(4) Индикатор рабочего состояния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(5) Розетка для технического обслуживания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(6) Дистанционное управление одной кнопкой через сухой контакт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(7) Каскадное управление через сухой контакт</w:t>
      </w:r>
    </w:p>
    <w:p w14:paraId="0762549B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2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Функция управления по времени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автоматическое включение и выключение по расписанию.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3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 xml:space="preserve"> 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Функция дистанционного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 дистанционное управление на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ограниченном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 расстоянии.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4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Управление через мобильное облачное приложение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управление с телефона без ограничения по расстоянию.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5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Многофункциональная карта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Nova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>Star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, Colorlight, Linsn, Kystar, ZHONGHANG, Mo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>S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ier и др.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6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Функция PLC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на компьютер устанавливается специальное программное обеспечение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 xml:space="preserve">.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Л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юбой компьютер в локальной сети может управлять любым распределительным шкафом. Возможна централизованная работа с несколькими шкафами. Интерфейс управления может отображать такие параметры внутри LED-экрана, как температура, влажность, наличие дыма и т. д.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7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Управление через центральную систему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позволяет управлять одним или несколькими распределительными шкафами через центральную систему управления.</w:t>
      </w:r>
    </w:p>
    <w:p w14:paraId="4D4EE0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textAlignment w:val="baseline"/>
      </w:pPr>
    </w:p>
    <w:p w14:paraId="0B8DA7F0">
      <w:pPr>
        <w:spacing w:before="4"/>
      </w:pPr>
    </w:p>
    <w:p w14:paraId="0DBE6CFE">
      <w:pPr>
        <w:pStyle w:val="7"/>
        <w:keepNext w:val="0"/>
        <w:keepLines w:val="0"/>
        <w:widowControl/>
        <w:suppressLineNumbers w:val="0"/>
        <w:ind w:left="0" w:firstLine="0"/>
        <w:rPr>
          <w:rStyle w:val="8"/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/>
          <w:spacing w:val="0"/>
          <w:sz w:val="20"/>
          <w:szCs w:val="20"/>
        </w:rPr>
        <w:t>IV. Защита и безопасность</w:t>
      </w:r>
    </w:p>
    <w:p w14:paraId="2010B419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короткого замыкания</w:t>
      </w:r>
    </w:p>
    <w:p w14:paraId="60C4BA6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перегрузки</w:t>
      </w:r>
    </w:p>
    <w:p w14:paraId="11373591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перенапряжений, вызванных грозовыми разрядами (опционально)</w:t>
      </w:r>
    </w:p>
    <w:p w14:paraId="5AC69E7C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утечки тока (опционально)</w:t>
      </w:r>
    </w:p>
    <w:p w14:paraId="4B07298D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пониженного и повышенного напряжения (опционально)</w:t>
      </w:r>
    </w:p>
    <w:p w14:paraId="185A4150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обрыва фазы (опционально)</w:t>
      </w:r>
    </w:p>
    <w:p w14:paraId="5F27C74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Отключение питания при высокой температуре (опционально)</w:t>
      </w:r>
    </w:p>
    <w:p w14:paraId="4F74B6A1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Отключение питания при срабатывании датчика дыма (опционально)</w:t>
      </w:r>
    </w:p>
    <w:p w14:paraId="7F5D2F6D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Сигнализация при открытии двери (опционально)</w:t>
      </w:r>
    </w:p>
    <w:p w14:paraId="23CD60F0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Сигнализация при обнаружении пламени (опционально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)</w:t>
      </w:r>
    </w:p>
    <w:p w14:paraId="295AB9B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нулевого кабеля от перегрева (опционально)</w:t>
      </w:r>
    </w:p>
    <w:p w14:paraId="40EF4CA3">
      <w:pPr>
        <w:spacing w:before="4"/>
        <w:rPr>
          <w:rFonts w:hint="eastAsia" w:eastAsia="SimSun"/>
          <w:sz w:val="22"/>
          <w:szCs w:val="22"/>
          <w:lang w:eastAsia="zh-CN"/>
        </w:rPr>
      </w:pPr>
    </w:p>
    <w:p w14:paraId="12B381A2">
      <w:pPr>
        <w:spacing w:before="4"/>
        <w:rPr>
          <w:rFonts w:hint="eastAsia" w:eastAsia="SimSun"/>
          <w:lang w:eastAsia="zh-CN"/>
        </w:rPr>
      </w:pPr>
    </w:p>
    <w:p w14:paraId="0EDB0D6A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V. Управление электропотреблением (опционально)</w:t>
      </w:r>
    </w:p>
    <w:p w14:paraId="62F221C0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1.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Дистанционное управление, мониторинг в режиме реального времени, предварительное предупреждение и аварийная сигнализация, анализ энергопотребления.</w:t>
      </w:r>
    </w:p>
    <w:p w14:paraId="6E1529B9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2.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Мониторинг в режиме реального времени параметров электропотребления каждой линии (например: ток, напряжение, ток утечки, мощность, температура и т. д.).</w:t>
      </w:r>
    </w:p>
    <w:p w14:paraId="6B92BB2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3.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Ограничение мощности: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в пределах допустимой мощности можно свободно задавать номинальную мощность каждой линии электропотребления. Через платформу можно гибко устанавливать пороговые значения для предупреждений и аварийной сигнализации, а также корректировать значения защиты линий уже после установки. Это позволяет предотвращать неправильное использование мощных электроприборов и снижать риски, связанные с электропотреблением.</w:t>
      </w:r>
    </w:p>
    <w:p w14:paraId="0CFDF1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b/>
          <w:bCs/>
        </w:rPr>
      </w:pPr>
    </w:p>
    <w:p w14:paraId="3E766D0D">
      <w:pPr>
        <w:spacing w:before="4"/>
      </w:pPr>
    </w:p>
    <w:p w14:paraId="53524E70">
      <w:pPr>
        <w:spacing w:before="4"/>
      </w:pPr>
    </w:p>
    <w:p w14:paraId="565B6BDD">
      <w:pPr>
        <w:spacing w:before="4"/>
      </w:pPr>
    </w:p>
    <w:p w14:paraId="05E8B7BB">
      <w:pPr>
        <w:spacing w:before="4"/>
      </w:pPr>
    </w:p>
    <w:p w14:paraId="27094AE1">
      <w:pPr>
        <w:spacing w:before="4"/>
      </w:pPr>
    </w:p>
    <w:p w14:paraId="3128E2BA">
      <w:pPr>
        <w:spacing w:before="4"/>
      </w:pPr>
    </w:p>
    <w:p w14:paraId="08EBE43C">
      <w:pPr>
        <w:spacing w:before="4"/>
      </w:pPr>
    </w:p>
    <w:p w14:paraId="6E1EC3ED">
      <w:pPr>
        <w:spacing w:before="4"/>
      </w:pPr>
    </w:p>
    <w:p w14:paraId="67CC17CF">
      <w:pPr>
        <w:spacing w:before="4"/>
      </w:pPr>
    </w:p>
    <w:p w14:paraId="05A9D34F">
      <w:pPr>
        <w:spacing w:before="4"/>
      </w:pPr>
    </w:p>
    <w:p w14:paraId="5E45B885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bookmarkStart w:id="3" w:name="_Hlk148375924"/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VI. Информация об установке</w:t>
      </w:r>
    </w:p>
    <w:p w14:paraId="164ED8D5">
      <w:pPr>
        <w:numPr>
          <w:ilvl w:val="0"/>
          <w:numId w:val="0"/>
        </w:numPr>
        <w:spacing w:before="104" w:line="223" w:lineRule="auto"/>
        <w:outlineLvl w:val="0"/>
        <w:rPr>
          <w:rFonts w:hint="eastAsia" w:ascii="SimHei" w:hAnsi="SimHei" w:eastAsia="SimHei" w:cs="SimHei"/>
          <w:b/>
          <w:bCs/>
          <w:sz w:val="32"/>
          <w:szCs w:val="32"/>
          <w:u w:val="single"/>
          <w:lang w:eastAsia="zh-CN"/>
        </w:rPr>
      </w:pPr>
    </w:p>
    <w:bookmarkEnd w:id="3"/>
    <w:p w14:paraId="6A02A994">
      <w:pPr>
        <w:spacing w:line="221" w:lineRule="auto"/>
        <w:jc w:val="center"/>
      </w:pPr>
      <w:r>
        <w:drawing>
          <wp:inline distT="0" distB="0" distL="114300" distR="114300">
            <wp:extent cx="2533015" cy="3328670"/>
            <wp:effectExtent l="0" t="0" r="635" b="508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33015" cy="332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SimSun"/>
          <w:lang w:val="en-US" w:eastAsia="zh-CN"/>
        </w:rPr>
        <w:t xml:space="preserve">          </w:t>
      </w:r>
      <w:r>
        <w:drawing>
          <wp:inline distT="0" distB="0" distL="114300" distR="114300">
            <wp:extent cx="1972945" cy="3303905"/>
            <wp:effectExtent l="0" t="0" r="8255" b="1079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330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42697">
      <w:pPr>
        <w:spacing w:line="221" w:lineRule="auto"/>
        <w:jc w:val="center"/>
      </w:pPr>
    </w:p>
    <w:p w14:paraId="6A4ED789">
      <w:pPr>
        <w:spacing w:line="221" w:lineRule="auto"/>
        <w:jc w:val="center"/>
      </w:pPr>
    </w:p>
    <w:p w14:paraId="0CC52164">
      <w:pPr>
        <w:spacing w:line="221" w:lineRule="auto"/>
        <w:jc w:val="center"/>
        <w:sectPr>
          <w:headerReference r:id="rId14" w:type="first"/>
          <w:headerReference r:id="rId12" w:type="default"/>
          <w:headerReference r:id="rId13" w:type="even"/>
          <w:pgSz w:w="11909" w:h="16834"/>
          <w:pgMar w:top="720" w:right="720" w:bottom="720" w:left="720" w:header="0" w:footer="0" w:gutter="0"/>
          <w:cols w:space="720" w:num="1"/>
        </w:sectPr>
      </w:pPr>
      <w:r>
        <w:drawing>
          <wp:inline distT="0" distB="0" distL="114300" distR="114300">
            <wp:extent cx="2682240" cy="3947795"/>
            <wp:effectExtent l="0" t="0" r="3810" b="1460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394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848610" cy="4058285"/>
            <wp:effectExtent l="0" t="0" r="8890" b="1841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48610" cy="405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749DBE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1" w:line="20" w:lineRule="exact"/>
        <w:textAlignment w:val="baseline"/>
        <w:outlineLvl w:val="0"/>
        <w:rPr>
          <w:rFonts w:ascii="SimHei" w:hAnsi="SimHei" w:eastAsia="SimHei" w:cs="SimHei"/>
          <w:sz w:val="27"/>
          <w:szCs w:val="27"/>
        </w:rPr>
      </w:pPr>
    </w:p>
    <w:p w14:paraId="32DA033B">
      <w:pPr>
        <w:bidi w:val="0"/>
        <w:rPr>
          <w:rFonts w:ascii="Arial" w:hAnsi="Arial" w:eastAsia="Arial" w:cs="Arial"/>
          <w:snapToGrid w:val="0"/>
          <w:color w:val="000000"/>
          <w:sz w:val="21"/>
          <w:szCs w:val="21"/>
          <w:lang w:val="en-US" w:eastAsia="en-US" w:bidi="ar-SA"/>
        </w:rPr>
      </w:pPr>
    </w:p>
    <w:p w14:paraId="447815A4">
      <w:pPr>
        <w:bidi w:val="0"/>
        <w:rPr>
          <w:lang w:val="en-US" w:eastAsia="en-US"/>
        </w:rPr>
      </w:pPr>
    </w:p>
    <w:p w14:paraId="06109ED6">
      <w:pPr>
        <w:bidi w:val="0"/>
        <w:rPr>
          <w:rFonts w:hint="eastAsia" w:eastAsia="SimSun"/>
          <w:lang w:val="en-US" w:eastAsia="zh-CN"/>
        </w:rPr>
      </w:pPr>
    </w:p>
    <w:p w14:paraId="214C622F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eastAsia" w:ascii="SimHei" w:hAnsi="SimHei" w:eastAsia="SimHei" w:cs="SimHei"/>
          <w:b/>
          <w:bCs/>
          <w:sz w:val="32"/>
          <w:szCs w:val="32"/>
          <w:u w:val="single"/>
          <w:lang w:eastAsia="zh-CN"/>
        </w:rPr>
      </w:pPr>
      <w:r>
        <w:rPr>
          <w:rFonts w:hint="eastAsia" w:ascii="SimHei" w:hAnsi="SimHei" w:eastAsia="SimHei" w:cs="SimHei"/>
          <w:b/>
          <w:bCs/>
          <w:sz w:val="32"/>
          <w:szCs w:val="32"/>
          <w:u w:val="none"/>
          <w:lang w:val="en-US" w:eastAsia="zh-CN"/>
        </w:rPr>
        <w:t xml:space="preserve">  </w:t>
      </w:r>
      <w:r>
        <w:rPr>
          <w:rStyle w:val="8"/>
          <w:i w:val="0"/>
          <w:iCs w:val="0"/>
          <w:caps w:val="0"/>
          <w:color w:val="000000"/>
          <w:spacing w:val="0"/>
        </w:rPr>
        <w:t>VII. Принципиальная схема</w:t>
      </w:r>
    </w:p>
    <w:p w14:paraId="05B25686">
      <w:pPr>
        <w:bidi w:val="0"/>
        <w:rPr>
          <w:lang w:val="en-US" w:eastAsia="en-US"/>
        </w:rPr>
      </w:pPr>
    </w:p>
    <w:p w14:paraId="7DCB0456">
      <w:pPr>
        <w:bidi w:val="0"/>
        <w:rPr>
          <w:lang w:val="en-US" w:eastAsia="en-US"/>
        </w:rPr>
      </w:pPr>
    </w:p>
    <w:p w14:paraId="44386C76">
      <w:pPr>
        <w:tabs>
          <w:tab w:val="left" w:pos="765"/>
        </w:tabs>
        <w:bidi w:val="0"/>
        <w:jc w:val="left"/>
      </w:pPr>
      <w:r>
        <w:rPr>
          <w:rFonts w:hint="eastAsia" w:eastAsia="SimSun"/>
          <w:lang w:val="en-US" w:eastAsia="zh-CN"/>
        </w:rPr>
        <w:tab/>
      </w:r>
    </w:p>
    <w:p w14:paraId="6ABAFB00">
      <w:pPr>
        <w:tabs>
          <w:tab w:val="left" w:pos="765"/>
        </w:tabs>
        <w:bidi w:val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993130" cy="3423920"/>
            <wp:effectExtent l="0" t="0" r="127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93130" cy="342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172460" cy="3924300"/>
            <wp:effectExtent l="0" t="0" r="8890" b="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246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17" w:type="first"/>
      <w:headerReference r:id="rId15" w:type="default"/>
      <w:headerReference r:id="rId16" w:type="even"/>
      <w:pgSz w:w="11909" w:h="16834"/>
      <w:pgMar w:top="400" w:right="28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83829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6A0E8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43BA8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1FBDA">
    <w:pPr>
      <w:pStyle w:val="6"/>
    </w:pPr>
    <w:r>
      <w:rPr>
        <w:snapToGrid/>
      </w:rPr>
      <w:pict>
        <v:shape id="WordPictureWatermark44021252" o:spid="_x0000_s1081" o:spt="75" type="#_x0000_t75" style="position:absolute;left:0pt;height:841.15pt;width:595.4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B62CC">
    <w:pPr>
      <w:pStyle w:val="6"/>
    </w:pPr>
    <w:r>
      <w:rPr>
        <w:snapToGrid/>
      </w:rPr>
      <w:pict>
        <v:shape id="WordPictureWatermark44021251" o:spid="_x0000_s1080" o:spt="75" type="#_x0000_t75" style="position:absolute;left:0pt;height:841.15pt;width:595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DDB02">
    <w:pPr>
      <w:pStyle w:val="6"/>
    </w:pPr>
    <w:r>
      <w:rPr>
        <w:snapToGrid/>
      </w:rPr>
      <w:pict>
        <v:shape id="WordPictureWatermark44021250" o:spid="_x0000_s1079" o:spt="75" type="#_x0000_t75" style="position:absolute;left:0pt;height:841.15pt;width:595.4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91F94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1" o:spid="_x0000_s1090" o:spt="75" type="#_x0000_t75" style="position:absolute;left:0pt;height:841.15pt;width:595.4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38B61">
    <w:pPr>
      <w:pStyle w:val="6"/>
    </w:pPr>
    <w:r>
      <w:rPr>
        <w:snapToGrid/>
      </w:rPr>
      <w:pict>
        <v:shape id="WordPictureWatermark44021260" o:spid="_x0000_s1089" o:spt="75" type="#_x0000_t75" style="position:absolute;left:0pt;height:841.15pt;width:595.4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B4536">
    <w:pPr>
      <w:pStyle w:val="6"/>
    </w:pPr>
    <w:r>
      <w:rPr>
        <w:snapToGrid/>
      </w:rPr>
      <w:pict>
        <v:shape id="WordPictureWatermark44021259" o:spid="_x0000_s1088" o:spt="75" type="#_x0000_t75" style="position:absolute;left:0pt;height:841.15pt;width:595.4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64A9F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4" o:spid="_x0000_s1093" o:spt="75" type="#_x0000_t75" style="position:absolute;left:0pt;height:841.15pt;width:595.4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70F2E">
    <w:pPr>
      <w:pStyle w:val="6"/>
    </w:pPr>
    <w:r>
      <w:rPr>
        <w:snapToGrid/>
      </w:rPr>
      <w:pict>
        <v:shape id="WordPictureWatermark44021263" o:spid="_x0000_s1092" o:spt="75" type="#_x0000_t75" style="position:absolute;left:0pt;height:841.15pt;width:595.4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06D7B">
    <w:pPr>
      <w:pStyle w:val="6"/>
    </w:pPr>
    <w:r>
      <w:rPr>
        <w:snapToGrid/>
      </w:rPr>
      <w:pict>
        <v:shape id="WordPictureWatermark44021262" o:spid="_x0000_s1091" o:spt="75" type="#_x0000_t75" style="position:absolute;left:0pt;height:841.15pt;width:595.4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311C0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7" o:spid="_x0000_s1096" o:spt="75" type="#_x0000_t75" style="position:absolute;left:0pt;height:841.15pt;width:595.4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0B788">
    <w:pPr>
      <w:pStyle w:val="6"/>
    </w:pPr>
    <w:r>
      <w:rPr>
        <w:snapToGrid/>
      </w:rPr>
      <w:pict>
        <v:shape id="WordPictureWatermark44021266" o:spid="_x0000_s1095" o:spt="75" type="#_x0000_t75" style="position:absolute;left:0pt;height:841.15pt;width:595.4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9E002B">
    <w:pPr>
      <w:pStyle w:val="6"/>
    </w:pPr>
    <w:r>
      <w:rPr>
        <w:snapToGrid/>
      </w:rPr>
      <w:pict>
        <v:shape id="WordPictureWatermark44021265" o:spid="_x0000_s1094" o:spt="75" type="#_x0000_t75" style="position:absolute;left:0pt;height:841.15pt;width:595.4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B74764"/>
    <w:multiLevelType w:val="singleLevel"/>
    <w:tmpl w:val="AEB7476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EDC019A"/>
    <w:multiLevelType w:val="singleLevel"/>
    <w:tmpl w:val="BEDC019A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6D5F444A"/>
    <w:multiLevelType w:val="singleLevel"/>
    <w:tmpl w:val="6D5F444A"/>
    <w:lvl w:ilvl="0" w:tentative="0">
      <w:start w:val="4"/>
      <w:numFmt w:val="decimal"/>
      <w:suff w:val="space"/>
      <w:lvlText w:val="%1."/>
      <w:lvlJc w:val="left"/>
      <w:rPr>
        <w:rFonts w:hint="default" w:ascii="Times New Roman Bold" w:hAnsi="Times New Roman Bold" w:cs="Times New Roman Bold"/>
        <w:b/>
        <w:bCs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spaceForUL/>
    <w:ulTrailSpace/>
    <w:doNotExpandShiftReturn/>
    <w:doNotWrapTextWithPunct/>
    <w:doNotUseEastAsianBreakRules/>
    <w:compatSetting w:name="compatibilityMode" w:uri="http://schemas.microsoft.com/office/word" w:val="14"/>
  </w:compat>
  <w:docVars>
    <w:docVar w:name="commondata" w:val="eyJoZGlkIjoiYzE4NmI2MGMxMGNmZjRjOWQyMTM1M2M0Y2RjNzU0ZjMifQ=="/>
  </w:docVars>
  <w:rsids>
    <w:rsidRoot w:val="001A190A"/>
    <w:rsid w:val="00080079"/>
    <w:rsid w:val="001A190A"/>
    <w:rsid w:val="002A12F7"/>
    <w:rsid w:val="00615495"/>
    <w:rsid w:val="00897A23"/>
    <w:rsid w:val="009C3199"/>
    <w:rsid w:val="00D7030B"/>
    <w:rsid w:val="08A36795"/>
    <w:rsid w:val="127F1320"/>
    <w:rsid w:val="189308FB"/>
    <w:rsid w:val="2AB2571B"/>
    <w:rsid w:val="2AF3260E"/>
    <w:rsid w:val="2CB77F57"/>
    <w:rsid w:val="3F57057C"/>
    <w:rsid w:val="42DC2E3E"/>
    <w:rsid w:val="44515AC5"/>
    <w:rsid w:val="4A267B38"/>
    <w:rsid w:val="4C33695C"/>
    <w:rsid w:val="4EFBDA3D"/>
    <w:rsid w:val="68827E9F"/>
    <w:rsid w:val="69C7070D"/>
    <w:rsid w:val="6FFF7BB6"/>
    <w:rsid w:val="75A80B4D"/>
    <w:rsid w:val="9FBA9A75"/>
    <w:rsid w:val="EDEA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8">
    <w:name w:val="Strong"/>
    <w:basedOn w:val="2"/>
    <w:qFormat/>
    <w:uiPriority w:val="0"/>
    <w:rPr>
      <w:b/>
      <w:bCs/>
    </w:rPr>
  </w:style>
  <w:style w:type="table" w:customStyle="1" w:styleId="9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character" w:customStyle="1" w:styleId="11">
    <w:name w:val="页眉 字符"/>
    <w:basedOn w:val="2"/>
    <w:link w:val="6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2">
    <w:name w:val="页脚 字符"/>
    <w:basedOn w:val="2"/>
    <w:link w:val="5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2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9.png"/><Relationship Id="rId25" Type="http://schemas.openxmlformats.org/officeDocument/2006/relationships/image" Target="media/image8.png"/><Relationship Id="rId24" Type="http://schemas.openxmlformats.org/officeDocument/2006/relationships/image" Target="media/image7.png"/><Relationship Id="rId23" Type="http://schemas.openxmlformats.org/officeDocument/2006/relationships/image" Target="media/image6.png"/><Relationship Id="rId22" Type="http://schemas.openxmlformats.org/officeDocument/2006/relationships/image" Target="media/image5.png"/><Relationship Id="rId21" Type="http://schemas.openxmlformats.org/officeDocument/2006/relationships/image" Target="media/image4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jpe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81"/>
    <customShpInfo spid="_x0000_s1080"/>
    <customShpInfo spid="_x0000_s1079"/>
    <customShpInfo spid="_x0000_s1090"/>
    <customShpInfo spid="_x0000_s1089"/>
    <customShpInfo spid="_x0000_s1088"/>
    <customShpInfo spid="_x0000_s1093"/>
    <customShpInfo spid="_x0000_s1092"/>
    <customShpInfo spid="_x0000_s1091"/>
    <customShpInfo spid="_x0000_s1096"/>
    <customShpInfo spid="_x0000_s1095"/>
    <customShpInfo spid="_x0000_s1094"/>
    <customShpInfo spid="_x0000_s2050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4A6FC5-9C29-4B45-B8C1-E117F923B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1075</Words>
  <Characters>1206</Characters>
  <Lines>8</Lines>
  <Paragraphs>2</Paragraphs>
  <TotalTime>0</TotalTime>
  <ScaleCrop>false</ScaleCrop>
  <LinksUpToDate>false</LinksUpToDate>
  <CharactersWithSpaces>1349</CharactersWithSpaces>
  <Application>WPS Office_12.1.26015.26015_F1E327BC-269C-435d-A152-05C5408002CA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2022-05-07T21:45:00Z</dcterms:created>
  <dc:creator>陈年</dc:creator>
  <cp:lastModifiedBy>Yulia Glazetskaya</cp:lastModifiedBy>
  <dcterms:modified xsi:type="dcterms:W3CDTF">2026-09-18T16:10:45Z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2023-10-15T10:44:24Z</vt:filetime>
  </property>
  <property fmtid="{D5CDD505-2E9C-101B-9397-08002B2CF9AE}" pid="4" name="KSOProductBuildVer">
    <vt:lpwstr>1033-12.1.26015.26015</vt:lpwstr>
  </property>
  <property fmtid="{D5CDD505-2E9C-101B-9397-08002B2CF9AE}" pid="5" name="ICV">
    <vt:lpwstr>294A6736BBB831C2E71BAD6ABB51213E_43</vt:lpwstr>
  </property>
  <property fmtid="{D5CDD505-2E9C-101B-9397-08002B2CF9AE}" pid="6" name="KSOTemplateDocerSaveRecord">
    <vt:lpwstr>eyJoZGlkIjoiNzdkMzczZmI3M2RiZDUxYjBiYmI5MTM3NWQ5MTIzODciLCJ1c2VySWQiOiIyNTcxNjczNzgifQ==</vt:lpwstr>
  </property>
</Properties>
</file>