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BAED2F">
      <w:pPr>
        <w:spacing w:line="242" w:lineRule="auto"/>
      </w:pPr>
      <w:bookmarkStart w:id="0" w:name="_Hlk148375851"/>
      <w:r>
        <w:rPr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-74295</wp:posOffset>
            </wp:positionV>
            <wp:extent cx="7293610" cy="10774680"/>
            <wp:effectExtent l="0" t="0" r="2540" b="7620"/>
            <wp:wrapNone/>
            <wp:docPr id="2134664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64551" name="图片 1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610" cy="1077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14774F">
      <w:pPr>
        <w:spacing w:line="242" w:lineRule="auto"/>
      </w:pPr>
    </w:p>
    <w:p w14:paraId="350A762A">
      <w:pPr>
        <w:spacing w:line="242" w:lineRule="auto"/>
      </w:pPr>
    </w:p>
    <w:p w14:paraId="73673EC5">
      <w:pPr>
        <w:spacing w:line="242" w:lineRule="auto"/>
      </w:pPr>
    </w:p>
    <w:p w14:paraId="44BAE9A2">
      <w:pPr>
        <w:spacing w:line="242" w:lineRule="auto"/>
      </w:pPr>
    </w:p>
    <w:p w14:paraId="2343788E">
      <w:pPr>
        <w:spacing w:line="242" w:lineRule="auto"/>
      </w:pPr>
    </w:p>
    <w:p w14:paraId="4C277889">
      <w:pPr>
        <w:spacing w:line="242" w:lineRule="auto"/>
      </w:pPr>
    </w:p>
    <w:p w14:paraId="3AAE15F5">
      <w:pPr>
        <w:spacing w:line="242" w:lineRule="auto"/>
      </w:pPr>
    </w:p>
    <w:p w14:paraId="1ADB5915">
      <w:pPr>
        <w:spacing w:line="242" w:lineRule="auto"/>
      </w:pPr>
    </w:p>
    <w:p w14:paraId="27933D09">
      <w:pPr>
        <w:spacing w:line="242" w:lineRule="auto"/>
      </w:pPr>
      <w:r>
        <w:pict>
          <v:shape id="_x0000_s2050" o:spid="_x0000_s2050" o:spt="202" type="#_x0000_t202" style="position:absolute;left:0pt;margin-left:28.85pt;margin-top:122.5pt;height:685.65pt;width:529.3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0DD21AC">
                  <w:pPr>
                    <w:pStyle w:val="7"/>
                    <w:keepNext w:val="0"/>
                    <w:keepLines w:val="0"/>
                    <w:widowControl/>
                    <w:suppressLineNumbers w:val="0"/>
                    <w:ind w:left="0" w:firstLine="0"/>
                    <w:rPr>
                      <w:rFonts w:hint="default"/>
                      <w:i w:val="0"/>
                      <w:iCs w:val="0"/>
                      <w:caps w:val="0"/>
                      <w:color w:val="000000"/>
                      <w:spacing w:val="0"/>
                      <w:lang w:val="ru-RU"/>
                    </w:rPr>
                  </w:pPr>
                  <w:r>
                    <w:rPr>
                      <w:rStyle w:val="8"/>
                      <w:i w:val="0"/>
                      <w:iCs w:val="0"/>
                      <w:caps w:val="0"/>
                      <w:color w:val="000000"/>
                      <w:spacing w:val="0"/>
                    </w:rPr>
                    <w:t>Интеллектуальный распределительный шкаф</w:t>
                  </w:r>
                  <w:r>
                    <w:rPr>
                      <w:i w:val="0"/>
                      <w:iCs w:val="0"/>
                      <w:caps w:val="0"/>
                      <w:color w:val="000000"/>
                      <w:spacing w:val="0"/>
                    </w:rPr>
                    <w:br w:type="textWrapping"/>
                  </w:r>
                  <w:r>
                    <w:rPr>
                      <w:rStyle w:val="8"/>
                      <w:i w:val="0"/>
                      <w:iCs w:val="0"/>
                      <w:caps w:val="0"/>
                      <w:color w:val="000000"/>
                      <w:spacing w:val="0"/>
                    </w:rPr>
                    <w:t>HX2</w:t>
                  </w:r>
                  <w:r>
                    <w:rPr>
                      <w:rStyle w:val="8"/>
                      <w:rFonts w:hint="default"/>
                      <w:i w:val="0"/>
                      <w:iCs w:val="0"/>
                      <w:caps w:val="0"/>
                      <w:color w:val="000000"/>
                      <w:spacing w:val="0"/>
                      <w:lang w:val="ru-RU"/>
                    </w:rPr>
                    <w:t>30</w:t>
                  </w:r>
                  <w:r>
                    <w:rPr>
                      <w:rStyle w:val="8"/>
                      <w:i w:val="0"/>
                      <w:iCs w:val="0"/>
                      <w:caps w:val="0"/>
                      <w:color w:val="000000"/>
                      <w:spacing w:val="0"/>
                    </w:rPr>
                    <w:t>-4</w:t>
                  </w:r>
                  <w:r>
                    <w:rPr>
                      <w:rStyle w:val="8"/>
                      <w:rFonts w:hint="default"/>
                      <w:i w:val="0"/>
                      <w:iCs w:val="0"/>
                      <w:caps w:val="0"/>
                      <w:color w:val="000000"/>
                      <w:spacing w:val="0"/>
                      <w:lang w:val="ru-RU"/>
                    </w:rPr>
                    <w:t>2</w:t>
                  </w:r>
                </w:p>
                <w:p w14:paraId="261F5A48">
                  <w:pPr>
                    <w:spacing w:before="130" w:line="223" w:lineRule="auto"/>
                    <w:ind w:left="20"/>
                    <w:rPr>
                      <w:rFonts w:hint="eastAsia" w:ascii="SimHei" w:hAnsi="SimHei" w:eastAsia="SimHei" w:cs="SimHei"/>
                      <w:color w:val="FFFFFF"/>
                      <w:spacing w:val="-2"/>
                      <w:sz w:val="32"/>
                      <w:szCs w:val="32"/>
                      <w:lang w:val="en-US" w:eastAsia="zh-CN"/>
                    </w:rPr>
                  </w:pPr>
                </w:p>
                <w:p w14:paraId="056356E3">
                  <w:pPr>
                    <w:pStyle w:val="4"/>
                    <w:spacing w:before="131"/>
                    <w:jc w:val="center"/>
                    <w:rPr>
                      <w:sz w:val="30"/>
                      <w:szCs w:val="30"/>
                      <w:lang w:eastAsia="zh-CN"/>
                    </w:rPr>
                  </w:pP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                                              </w:t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drawing>
                      <wp:inline distT="0" distB="0" distL="114300" distR="114300">
                        <wp:extent cx="757555" cy="1633220"/>
                        <wp:effectExtent l="0" t="0" r="4445" b="17780"/>
                        <wp:docPr id="5" name="图片 5" descr="b3b6e2586e37de2a4a3bc03294e3a58_副本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b3b6e2586e37de2a4a3bc03294e3a58_副本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7555" cy="1633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                                    </w:t>
                  </w:r>
                </w:p>
                <w:p w14:paraId="0C159F2B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right="0"/>
                    <w:jc w:val="both"/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</w:pPr>
                  <w:r>
                    <w:rPr>
                      <w:rStyle w:val="8"/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I. Описание продукции</w:t>
                  </w:r>
                </w:p>
                <w:p w14:paraId="11029598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sz w:val="21"/>
                      <w:szCs w:val="21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1.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 xml:space="preserve">Данный распределительный шкаф предназначен для использования с LED-дисплеями, системами декоративного освещения, осветительными установками, на заводах, промышленных и горнодобывающих предприятиях и т. д. Предусмотрены различные способы управления: ручное управление, управление по времени (опционально), дистанционное управление (опционально), управление через облачный сервис с телефона (опционально), управление с помощью многофункциональной карты (опционально), управление через PLC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/>
                    </w:rPr>
                    <w:t>(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программируемый логистический контроллер -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опционально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опционально), управление по локальной сети (опционально), управление сухим контактом и др.</w:t>
                  </w:r>
                </w:p>
                <w:p w14:paraId="47234788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2.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Для распределительного шкафа требуется входное подключение по трёхфазной пятипроводной системе. То есть необходимо подключить отдельные нейтральный и защитный заземляющий провода (A, B, C, N, PE). Выходное напряжение шкафа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переменное напряжение 220 В. Каждая линия представляет собой трёхжильный кабель (L, N, PE). Выходные линии должны быть равномерно распределены и подключены к оборудованию. При подключении распределительного шкафа к LED-дисплею также необходимо подключить нейтральный и заземляющий провода.</w:t>
                  </w:r>
                </w:p>
                <w:p w14:paraId="671C14F5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pacing w:val="-9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3. 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Распределительный шкаф может реализовывать различные комбинации режимов электропитания, такие как многоступенчатая подача питания с задержкой и независимое питание по отдельным линиям.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 xml:space="preserve">Распределительный шкаф поддерживает различные режимы управления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>(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ручной и автоматический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>)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объединённые в одной системе. Предусмотрена функция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запуска и остановки одним нажатием кнопки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а также возможность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каскадного подключения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 нескольких шкафов.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Шкаф оснащён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индикаторами трёхфазного питания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что позволяет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контролировать рабочее состояние оборудования в режиме реального времени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. Также предусмотрены различные функции защиты: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от короткого замыкания, сверхтока, перегрузки и т. д.</w:t>
                  </w:r>
                </w:p>
                <w:p w14:paraId="036A7191">
                  <w:pPr>
                    <w:keepNext w:val="0"/>
                    <w:keepLines w:val="0"/>
                    <w:widowControl/>
                    <w:numPr>
                      <w:ilvl w:val="0"/>
                      <w:numId w:val="1"/>
                    </w:numPr>
                    <w:suppressLineNumbers w:val="0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z w:val="21"/>
                      <w:szCs w:val="21"/>
                    </w:rPr>
                  </w:pPr>
                  <w:r>
                    <w:rPr>
                      <w:rFonts w:hint="default" w:ascii="Times New Roman Regular" w:hAnsi="Times New Roman Regular" w:eastAsia="-webkit-standard" w:cs="Times New Roman Regular"/>
                      <w:b w:val="0"/>
                      <w:i w:val="0"/>
                      <w:iCs w:val="0"/>
                      <w:caps w:val="0"/>
                      <w:snapToGrid w:val="0"/>
                      <w:color w:val="000000"/>
                      <w:spacing w:val="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Распределительный шкаф должен эксплуатироваться квалифицированным персоналом. Во время грозы, сильного дождя, тайфуна и других неблагоприятных погодных условий распределительный шкаф не следует использовать. Если в работе распределительного шкафа обнаружены какие-либо неисправности или отклонения, повторно включать его можно только после того, как специалист устранит проблему.</w:t>
                  </w:r>
                </w:p>
                <w:p w14:paraId="40A3679A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kinsoku w:val="0"/>
                    <w:autoSpaceDE w:val="0"/>
                    <w:autoSpaceDN w:val="0"/>
                    <w:adjustRightInd w:val="0"/>
                    <w:snapToGrid w:val="0"/>
                    <w:jc w:val="both"/>
                    <w:textAlignment w:val="baseline"/>
                    <w:rPr>
                      <w:rFonts w:hint="default" w:ascii="Times New Roman Regular" w:hAnsi="Times New Roman Regular" w:eastAsia="-webkit-standard" w:cs="Times New Roman Regular"/>
                      <w:b w:val="0"/>
                      <w:i w:val="0"/>
                      <w:iCs w:val="0"/>
                      <w:caps w:val="0"/>
                      <w:snapToGrid w:val="0"/>
                      <w:color w:val="000000"/>
                      <w:spacing w:val="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  <w:p w14:paraId="3A925114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 w:firstLine="0"/>
                    <w:jc w:val="both"/>
                    <w:rPr>
                      <w:rFonts w:hint="default" w:ascii="Times New Roman Regular" w:hAnsi="Times New Roman Regular" w:cs="Times New Roman Regular"/>
                      <w:sz w:val="21"/>
                      <w:szCs w:val="21"/>
                      <w:lang w:eastAsia="zh-CN"/>
                    </w:rPr>
                  </w:pP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5.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Распределительный шкаф не следует использовать во влажной, запылённой или коррозионно-агрессивной среде. В месте установки распределительного шкафа не должно быть значительного количества токопроводящей пыли, а также коррозионных, легковоспламеняющихся и взрывоопасных веществ, способных негативно воздействовать на металл и изоляцию.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Конструкция изделия соответствует требованиям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сертификации CQC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а также стандартам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IEC 60439-2, GB 7251.1, GB 7251.3, GB 7251.8 и IEC 60439-1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.</w:t>
                  </w:r>
                </w:p>
                <w:p w14:paraId="5E4DD00E">
                  <w:pPr>
                    <w:pStyle w:val="4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  <w:p w14:paraId="1965B654">
                  <w:pPr>
                    <w:pStyle w:val="4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</w:txbxContent>
            </v:textbox>
          </v:shape>
        </w:pict>
      </w:r>
    </w:p>
    <w:p w14:paraId="5EDE2AED">
      <w:pPr>
        <w:spacing w:line="242" w:lineRule="auto"/>
      </w:pPr>
    </w:p>
    <w:p w14:paraId="23461917">
      <w:pPr>
        <w:spacing w:line="242" w:lineRule="auto"/>
      </w:pPr>
    </w:p>
    <w:p w14:paraId="2DAE3431">
      <w:pPr>
        <w:spacing w:line="242" w:lineRule="auto"/>
      </w:pPr>
    </w:p>
    <w:p w14:paraId="2E6B590A">
      <w:pPr>
        <w:spacing w:line="242" w:lineRule="auto"/>
      </w:pPr>
    </w:p>
    <w:p w14:paraId="1F394EF5">
      <w:pPr>
        <w:spacing w:line="242" w:lineRule="auto"/>
      </w:pPr>
    </w:p>
    <w:p w14:paraId="1D129A34">
      <w:pPr>
        <w:spacing w:line="242" w:lineRule="auto"/>
      </w:pPr>
    </w:p>
    <w:p w14:paraId="6B829AC4">
      <w:pPr>
        <w:spacing w:line="242" w:lineRule="auto"/>
      </w:pPr>
    </w:p>
    <w:p w14:paraId="3E25CDEA">
      <w:pPr>
        <w:spacing w:line="242" w:lineRule="auto"/>
      </w:pPr>
    </w:p>
    <w:p w14:paraId="01A58CB8">
      <w:pPr>
        <w:spacing w:line="242" w:lineRule="auto"/>
      </w:pPr>
    </w:p>
    <w:p w14:paraId="66A84CB8">
      <w:pPr>
        <w:spacing w:line="242" w:lineRule="auto"/>
      </w:pPr>
    </w:p>
    <w:p w14:paraId="24E844EC">
      <w:pPr>
        <w:spacing w:line="242" w:lineRule="auto"/>
      </w:pPr>
    </w:p>
    <w:p w14:paraId="3ED8D0F8">
      <w:pPr>
        <w:spacing w:line="242" w:lineRule="auto"/>
      </w:pPr>
    </w:p>
    <w:p w14:paraId="359BAB0B">
      <w:pPr>
        <w:spacing w:line="242" w:lineRule="auto"/>
      </w:pPr>
    </w:p>
    <w:p w14:paraId="29CDD7EF">
      <w:pPr>
        <w:spacing w:line="242" w:lineRule="auto"/>
      </w:pPr>
    </w:p>
    <w:p w14:paraId="09A28E81">
      <w:pPr>
        <w:spacing w:line="242" w:lineRule="auto"/>
      </w:pPr>
    </w:p>
    <w:p w14:paraId="0D4F9BE4">
      <w:pPr>
        <w:spacing w:line="242" w:lineRule="auto"/>
      </w:pPr>
    </w:p>
    <w:p w14:paraId="4710ED22">
      <w:pPr>
        <w:spacing w:line="242" w:lineRule="auto"/>
      </w:pPr>
    </w:p>
    <w:p w14:paraId="17946F06">
      <w:pPr>
        <w:spacing w:line="242" w:lineRule="auto"/>
      </w:pPr>
    </w:p>
    <w:p w14:paraId="5C6142EE">
      <w:pPr>
        <w:spacing w:line="242" w:lineRule="auto"/>
      </w:pPr>
    </w:p>
    <w:p w14:paraId="55E9074E">
      <w:pPr>
        <w:spacing w:line="242" w:lineRule="auto"/>
      </w:pPr>
    </w:p>
    <w:p w14:paraId="47112A84">
      <w:pPr>
        <w:spacing w:line="242" w:lineRule="auto"/>
      </w:pPr>
    </w:p>
    <w:p w14:paraId="6AF5A7BD">
      <w:pPr>
        <w:spacing w:line="242" w:lineRule="auto"/>
      </w:pPr>
    </w:p>
    <w:p w14:paraId="2967639C">
      <w:pPr>
        <w:spacing w:line="242" w:lineRule="auto"/>
      </w:pPr>
    </w:p>
    <w:p w14:paraId="74158FE6">
      <w:pPr>
        <w:spacing w:line="242" w:lineRule="auto"/>
      </w:pPr>
    </w:p>
    <w:p w14:paraId="71F9D670">
      <w:pPr>
        <w:spacing w:line="242" w:lineRule="auto"/>
      </w:pPr>
    </w:p>
    <w:p w14:paraId="200C037F">
      <w:pPr>
        <w:spacing w:line="242" w:lineRule="auto"/>
      </w:pPr>
    </w:p>
    <w:p w14:paraId="576C78CB">
      <w:pPr>
        <w:spacing w:line="242" w:lineRule="auto"/>
      </w:pPr>
    </w:p>
    <w:p w14:paraId="79B3BFF7">
      <w:pPr>
        <w:spacing w:line="242" w:lineRule="auto"/>
      </w:pPr>
    </w:p>
    <w:p w14:paraId="3CD48B3F">
      <w:pPr>
        <w:spacing w:line="242" w:lineRule="auto"/>
      </w:pPr>
    </w:p>
    <w:p w14:paraId="7A38A6AE">
      <w:pPr>
        <w:spacing w:line="242" w:lineRule="auto"/>
      </w:pPr>
    </w:p>
    <w:p w14:paraId="286D792D">
      <w:pPr>
        <w:spacing w:line="242" w:lineRule="auto"/>
      </w:pPr>
    </w:p>
    <w:p w14:paraId="59A1C3C1">
      <w:pPr>
        <w:spacing w:line="242" w:lineRule="auto"/>
      </w:pPr>
    </w:p>
    <w:p w14:paraId="077645D6">
      <w:pPr>
        <w:spacing w:line="242" w:lineRule="auto"/>
      </w:pPr>
    </w:p>
    <w:p w14:paraId="07053561">
      <w:pPr>
        <w:spacing w:line="242" w:lineRule="auto"/>
      </w:pPr>
    </w:p>
    <w:p w14:paraId="31E8959E">
      <w:pPr>
        <w:spacing w:line="242" w:lineRule="auto"/>
      </w:pPr>
    </w:p>
    <w:p w14:paraId="19CFC796">
      <w:pPr>
        <w:spacing w:line="242" w:lineRule="auto"/>
      </w:pPr>
    </w:p>
    <w:p w14:paraId="3427FB3B">
      <w:pPr>
        <w:spacing w:line="242" w:lineRule="auto"/>
      </w:pPr>
    </w:p>
    <w:p w14:paraId="0520900C">
      <w:pPr>
        <w:spacing w:line="242" w:lineRule="auto"/>
      </w:pPr>
    </w:p>
    <w:p w14:paraId="42E5BBF2">
      <w:pPr>
        <w:spacing w:line="243" w:lineRule="auto"/>
      </w:pPr>
    </w:p>
    <w:p w14:paraId="560A6E89">
      <w:pPr>
        <w:spacing w:line="243" w:lineRule="auto"/>
      </w:pPr>
    </w:p>
    <w:p w14:paraId="7957C7D8">
      <w:pPr>
        <w:spacing w:line="243" w:lineRule="auto"/>
      </w:pPr>
    </w:p>
    <w:p w14:paraId="2409A71B">
      <w:pPr>
        <w:spacing w:line="243" w:lineRule="auto"/>
      </w:pPr>
    </w:p>
    <w:p w14:paraId="3017D55F">
      <w:pPr>
        <w:spacing w:line="243" w:lineRule="auto"/>
      </w:pPr>
    </w:p>
    <w:p w14:paraId="12C63CB3">
      <w:pPr>
        <w:spacing w:line="243" w:lineRule="auto"/>
      </w:pPr>
    </w:p>
    <w:p w14:paraId="2611F125">
      <w:pPr>
        <w:spacing w:line="243" w:lineRule="auto"/>
      </w:pPr>
    </w:p>
    <w:p w14:paraId="77646110">
      <w:pPr>
        <w:spacing w:line="243" w:lineRule="auto"/>
      </w:pPr>
    </w:p>
    <w:p w14:paraId="5884292B">
      <w:pPr>
        <w:spacing w:line="243" w:lineRule="auto"/>
      </w:pPr>
    </w:p>
    <w:p w14:paraId="307E752B">
      <w:pPr>
        <w:spacing w:line="243" w:lineRule="auto"/>
      </w:pPr>
    </w:p>
    <w:p w14:paraId="56C0AB18">
      <w:pPr>
        <w:spacing w:line="243" w:lineRule="auto"/>
      </w:pPr>
    </w:p>
    <w:p w14:paraId="797F79C0">
      <w:pPr>
        <w:spacing w:line="243" w:lineRule="auto"/>
      </w:pPr>
    </w:p>
    <w:p w14:paraId="3417CD49">
      <w:pPr>
        <w:spacing w:line="243" w:lineRule="auto"/>
      </w:pPr>
    </w:p>
    <w:p w14:paraId="010070E3">
      <w:pPr>
        <w:spacing w:line="243" w:lineRule="auto"/>
      </w:pPr>
    </w:p>
    <w:p w14:paraId="1222D516">
      <w:pPr>
        <w:spacing w:line="243" w:lineRule="auto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9" w:h="16834"/>
          <w:pgMar w:top="0" w:right="0" w:bottom="0" w:left="0" w:header="0" w:footer="0" w:gutter="0"/>
          <w:cols w:space="720" w:num="1"/>
        </w:sectPr>
      </w:pPr>
    </w:p>
    <w:p w14:paraId="609E815D">
      <w:pPr>
        <w:spacing w:line="241" w:lineRule="auto"/>
        <w:rPr>
          <w:lang w:eastAsia="zh-CN"/>
        </w:rPr>
      </w:pPr>
    </w:p>
    <w:p w14:paraId="39E8207A">
      <w:pPr>
        <w:spacing w:line="241" w:lineRule="auto"/>
        <w:rPr>
          <w:lang w:eastAsia="zh-CN"/>
        </w:rPr>
      </w:pPr>
    </w:p>
    <w:p w14:paraId="1A417E84">
      <w:pPr>
        <w:spacing w:line="291" w:lineRule="auto"/>
        <w:rPr>
          <w:color w:val="C00000"/>
          <w:spacing w:val="-1"/>
          <w:position w:val="-1"/>
          <w:sz w:val="24"/>
          <w:szCs w:val="24"/>
          <w:lang w:eastAsia="zh-CN"/>
        </w:rPr>
      </w:pPr>
      <w:bookmarkStart w:id="1" w:name="_Hlk148375891"/>
    </w:p>
    <w:bookmarkEnd w:id="1"/>
    <w:p w14:paraId="3E334D5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</w:pPr>
      <w:bookmarkStart w:id="2" w:name="_Hlk148375909"/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1"/>
          <w:szCs w:val="21"/>
        </w:rPr>
        <w:t>Предупреждение: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1"/>
          <w:szCs w:val="21"/>
        </w:rPr>
        <w:t> 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из-за особенностей принципа работы LED-дисплея ток в нулевом проводе LED-дисплея может быть выше тока в фазном проводе, что создаёт серьёзную угрозу безопасности.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 xml:space="preserve">Основная причина повышенного тока в нулевом проводе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 xml:space="preserve">-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третья гармоника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. Третья гармоника возникает из-за импульсных источников питания. При преобразовании переменного напряжения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220 В в постоянное 5 В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возникают гармони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>ки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, в основном третья гармоника.</w:t>
      </w:r>
    </w:p>
    <w:p w14:paraId="6B16380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Кроме того, LED-дисплей постоянно воспроизводит динамическое изображение, поэтому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неравномерная нагрузка между тремя фазами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 также может приводить к возникновению тока в нулевом проводе.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Как правило, ток в нулевом проводе LED-дисплея составляет примерно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в 2 раза больше тока в одном фазном проводе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.</w:t>
      </w:r>
    </w:p>
    <w:p w14:paraId="405AEBF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Например, для LED-дисплея мощностью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200 кВт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 при полной нагрузке ток в фазном проводе составляет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300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, а ток в нулевом проводе может достигать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600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.</w:t>
      </w:r>
    </w:p>
    <w:p w14:paraId="25397FBC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Если для фаз используется соответствующий требованиям национального стандарта КНР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4×120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, то для нулевого провода необходимо использовать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4×240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.</w:t>
      </w:r>
    </w:p>
    <w:p w14:paraId="157FEA06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1"/>
          <w:szCs w:val="21"/>
        </w:rPr>
      </w:pP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1"/>
          <w:szCs w:val="21"/>
        </w:rPr>
        <w:t>Для LED-дисплеев площадью более 100 м² проектировщику следует рекомендовать заказчику использовать устройство для устранения тока в нулевом проводе. Чем больше площадь LED-дисплея, тем больше внимания необходимо уделять этому вопросу.</w:t>
      </w:r>
    </w:p>
    <w:p w14:paraId="0645798F">
      <w:pPr>
        <w:spacing w:line="291" w:lineRule="auto"/>
        <w:rPr>
          <w:rFonts w:hint="default" w:ascii="Times New Roman Regular" w:hAnsi="Times New Roman Regular" w:cs="Times New Roman Regular"/>
          <w:color w:val="FF0000"/>
          <w:spacing w:val="-1"/>
          <w:position w:val="-1"/>
          <w:sz w:val="21"/>
          <w:szCs w:val="21"/>
          <w:lang w:val="en-US" w:eastAsia="zh-CN"/>
        </w:rPr>
      </w:pPr>
    </w:p>
    <w:p w14:paraId="00C040FB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>Способы решения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ru-RU" w:eastAsia="zh-CN" w:bidi="ar"/>
        </w:rPr>
        <w:t xml:space="preserve"> 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 xml:space="preserve">проблемы с повышенным током в нулевом проводе: </w:t>
      </w:r>
    </w:p>
    <w:p w14:paraId="4B2BC21F"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ru-RU" w:eastAsia="zh-CN" w:bidi="ar"/>
        </w:rPr>
        <w:t>У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 xml:space="preserve">величить сечение кабеля нулевого провода; </w:t>
      </w:r>
    </w:p>
    <w:p w14:paraId="311FAEEF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 xml:space="preserve">спользовать устройство для устранения тока в нулевом проводе; </w:t>
      </w:r>
    </w:p>
    <w:p w14:paraId="35AAED2E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default" w:ascii="Times New Roman Regular" w:hAnsi="Times New Roman Regular" w:cs="Times New Roman Regular"/>
          <w:color w:val="FF0000"/>
          <w:sz w:val="21"/>
          <w:szCs w:val="21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>спользовать полностью изолированный распределительный шкаф постоянного тока с PFC.</w:t>
      </w:r>
    </w:p>
    <w:p w14:paraId="31329E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left="1470" w:leftChars="700" w:right="945" w:rightChars="450"/>
        <w:textAlignment w:val="baseline"/>
        <w:rPr>
          <w:rFonts w:hint="eastAsia"/>
          <w:b/>
          <w:bCs/>
          <w:color w:val="C00000"/>
          <w:spacing w:val="-1"/>
          <w:position w:val="-1"/>
          <w:sz w:val="28"/>
          <w:szCs w:val="28"/>
          <w:lang w:val="en-US" w:eastAsia="zh-CN"/>
        </w:rPr>
      </w:pPr>
    </w:p>
    <w:p w14:paraId="10841EBA">
      <w:pPr>
        <w:pStyle w:val="7"/>
        <w:keepNext w:val="0"/>
        <w:keepLines w:val="0"/>
        <w:widowControl/>
        <w:suppressLineNumbers w:val="0"/>
        <w:ind w:left="0" w:firstLine="0"/>
        <w:rPr>
          <w:rFonts w:hint="eastAsia" w:eastAsia="SimHei"/>
          <w:sz w:val="21"/>
          <w:szCs w:val="21"/>
          <w:lang w:val="en-US" w:eastAsia="zh-CN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II. Технические параме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</w:rPr>
        <w:t>тры</w:t>
      </w:r>
    </w:p>
    <w:p w14:paraId="3968B1CF">
      <w:pPr>
        <w:spacing w:before="104" w:line="223" w:lineRule="auto"/>
        <w:outlineLvl w:val="0"/>
        <w:rPr>
          <w:rFonts w:hint="default"/>
          <w:lang w:val="ru-RU" w:eastAsia="en-US"/>
        </w:rPr>
      </w:pPr>
    </w:p>
    <w:tbl>
      <w:tblPr>
        <w:tblStyle w:val="9"/>
        <w:tblpPr w:leftFromText="180" w:rightFromText="180" w:vertAnchor="text" w:horzAnchor="page" w:tblpX="995" w:tblpY="749"/>
        <w:tblOverlap w:val="never"/>
        <w:tblW w:w="934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360"/>
        <w:gridCol w:w="1746"/>
        <w:gridCol w:w="5855"/>
      </w:tblGrid>
      <w:tr w14:paraId="67B122C3">
        <w:trPr>
          <w:trHeight w:val="582" w:hRule="atLeast"/>
        </w:trPr>
        <w:tc>
          <w:tcPr>
            <w:tcW w:w="3491" w:type="dxa"/>
            <w:gridSpan w:val="3"/>
            <w:shd w:val="clear" w:color="auto" w:fill="F1F1F1"/>
          </w:tcPr>
          <w:p w14:paraId="52D63CBF">
            <w:pPr>
              <w:pStyle w:val="10"/>
              <w:spacing w:before="187" w:line="180" w:lineRule="auto"/>
              <w:ind w:left="112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2"/>
                <w:sz w:val="20"/>
                <w:szCs w:val="20"/>
                <w:lang w:val="ru-RU"/>
              </w:rPr>
              <w:t>Модель</w:t>
            </w:r>
          </w:p>
        </w:tc>
        <w:tc>
          <w:tcPr>
            <w:tcW w:w="5855" w:type="dxa"/>
          </w:tcPr>
          <w:p w14:paraId="71152F4F">
            <w:pPr>
              <w:pStyle w:val="10"/>
              <w:spacing w:before="201" w:line="172" w:lineRule="auto"/>
              <w:ind w:left="128"/>
              <w:rPr>
                <w:rFonts w:hint="default" w:eastAsia="Microsoft YaHei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HX230-42</w:t>
            </w:r>
          </w:p>
        </w:tc>
      </w:tr>
      <w:tr w14:paraId="06CEBD84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735394F0">
            <w:pPr>
              <w:pStyle w:val="10"/>
              <w:spacing w:before="175" w:line="184" w:lineRule="auto"/>
              <w:ind w:left="111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/>
              </w:rPr>
              <w:t>Способ установки</w:t>
            </w:r>
          </w:p>
        </w:tc>
        <w:tc>
          <w:tcPr>
            <w:tcW w:w="5855" w:type="dxa"/>
          </w:tcPr>
          <w:p w14:paraId="46563E6B">
            <w:pPr>
              <w:pStyle w:val="10"/>
              <w:spacing w:before="177" w:line="183" w:lineRule="auto"/>
              <w:ind w:left="108"/>
              <w:rPr>
                <w:rFonts w:hint="eastAsia" w:eastAsia="Microsoft YaHei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Напольный</w:t>
            </w:r>
          </w:p>
        </w:tc>
      </w:tr>
      <w:tr w14:paraId="10E8694A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6DFD358B">
            <w:pPr>
              <w:spacing w:line="364" w:lineRule="auto"/>
            </w:pPr>
          </w:p>
          <w:p w14:paraId="2F9F00B2">
            <w:pPr>
              <w:pStyle w:val="10"/>
              <w:spacing w:before="103" w:line="183" w:lineRule="auto"/>
              <w:ind w:left="111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  <w:t>Способ управления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74C87861">
            <w:pPr>
              <w:pStyle w:val="10"/>
              <w:spacing w:before="179" w:line="183" w:lineRule="auto"/>
              <w:ind w:left="109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/>
              </w:rPr>
              <w:t>Ручное управление</w:t>
            </w:r>
          </w:p>
        </w:tc>
        <w:tc>
          <w:tcPr>
            <w:tcW w:w="5855" w:type="dxa"/>
          </w:tcPr>
          <w:p w14:paraId="64975816">
            <w:pPr>
              <w:pStyle w:val="10"/>
              <w:spacing w:before="177" w:line="184" w:lineRule="auto"/>
              <w:ind w:left="109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Ручное и автоматическое управление</w:t>
            </w:r>
          </w:p>
        </w:tc>
      </w:tr>
      <w:tr w14:paraId="7A38ECED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559A7C27"/>
        </w:tc>
        <w:tc>
          <w:tcPr>
            <w:tcW w:w="2106" w:type="dxa"/>
            <w:gridSpan w:val="2"/>
            <w:shd w:val="clear" w:color="auto" w:fill="F1F1F1"/>
          </w:tcPr>
          <w:p w14:paraId="3FF0F4EF">
            <w:pPr>
              <w:pStyle w:val="10"/>
              <w:spacing w:before="178" w:line="183" w:lineRule="auto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Автоматическое управление (опционально)</w:t>
            </w:r>
          </w:p>
        </w:tc>
        <w:tc>
          <w:tcPr>
            <w:tcW w:w="5855" w:type="dxa"/>
          </w:tcPr>
          <w:p w14:paraId="3DAC0941">
            <w:pPr>
              <w:pStyle w:val="10"/>
              <w:spacing w:before="179" w:line="182" w:lineRule="auto"/>
              <w:ind w:left="127"/>
              <w:rPr>
                <w:rFonts w:hint="default" w:eastAsia="Microsoft YaHei"/>
                <w:lang w:val="en-US" w:eastAsia="zh-CN"/>
              </w:rPr>
            </w:pPr>
            <w:r>
              <w:rPr>
                <w:rFonts w:hint="default" w:ascii="Times New Roman Regular" w:hAnsi="Times New Roman Regular" w:eastAsia="-webkit-standard" w:cs="Times New Roman Regular"/>
                <w:b w:val="0"/>
                <w:bCs w:val="0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Управление по времени, дистанционное управление, управление через облачный сервис с телефона, управление с помощью многофункциональной карты, управление сухим контактом, управление с компьютера через PLC, управление с центрального планшета, управление по локальной сети или через Интернет и т. д</w:t>
            </w:r>
            <w:r>
              <w:rPr>
                <w:rFonts w:hint="default" w:ascii="Times New Roman Regular" w:hAnsi="Times New Roman Regular" w:eastAsia="-webkit-standard" w:cs="Times New Roman Regular"/>
                <w:b w:val="0"/>
                <w:bCs w:val="0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0"/>
                <w:szCs w:val="20"/>
                <w:u w:val="none"/>
                <w:lang w:val="ru-RU" w:eastAsia="zh-CN" w:bidi="ar"/>
              </w:rPr>
              <w:t>.</w:t>
            </w:r>
          </w:p>
        </w:tc>
      </w:tr>
      <w:tr w14:paraId="281A357E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2E0FD950">
            <w:pPr>
              <w:spacing w:line="314" w:lineRule="auto"/>
            </w:pPr>
          </w:p>
          <w:p w14:paraId="641167D9">
            <w:pPr>
              <w:spacing w:line="314" w:lineRule="auto"/>
            </w:pPr>
          </w:p>
          <w:p w14:paraId="6B9C53CC">
            <w:pPr>
              <w:spacing w:line="314" w:lineRule="auto"/>
            </w:pPr>
          </w:p>
          <w:p w14:paraId="27251D1F">
            <w:pPr>
              <w:pStyle w:val="10"/>
              <w:spacing w:before="103" w:line="183" w:lineRule="auto"/>
              <w:ind w:left="11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53B3C3C3">
            <w:pPr>
              <w:pStyle w:val="10"/>
              <w:spacing w:before="178" w:line="183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Способ подключения</w:t>
            </w:r>
          </w:p>
        </w:tc>
        <w:tc>
          <w:tcPr>
            <w:tcW w:w="5855" w:type="dxa"/>
          </w:tcPr>
          <w:p w14:paraId="43F6DEF7">
            <w:pPr>
              <w:pStyle w:val="10"/>
              <w:spacing w:before="177" w:line="184" w:lineRule="auto"/>
              <w:ind w:left="122"/>
              <w:rPr>
                <w:rFonts w:hint="eastAsia" w:eastAsia="Microsoft YaHei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 w:eastAsia="zh-CN"/>
              </w:rPr>
              <w:t>Трехфазная пятипроводная система</w:t>
            </w:r>
          </w:p>
        </w:tc>
      </w:tr>
      <w:tr w14:paraId="2C71FC48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32FB5252"/>
        </w:tc>
        <w:tc>
          <w:tcPr>
            <w:tcW w:w="2106" w:type="dxa"/>
            <w:gridSpan w:val="2"/>
            <w:shd w:val="clear" w:color="auto" w:fill="F1F1F1"/>
          </w:tcPr>
          <w:p w14:paraId="249F0317">
            <w:pPr>
              <w:pStyle w:val="10"/>
              <w:spacing w:before="180" w:line="182" w:lineRule="auto"/>
              <w:ind w:left="107"/>
              <w:rPr>
                <w:rFonts w:hint="eastAsia" w:eastAsia="Microsoft YaHei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 w:eastAsia="zh-CN"/>
              </w:rPr>
              <w:t>Входное напряжение, частота</w:t>
            </w:r>
          </w:p>
        </w:tc>
        <w:tc>
          <w:tcPr>
            <w:tcW w:w="5855" w:type="dxa"/>
          </w:tcPr>
          <w:p w14:paraId="10760803">
            <w:pPr>
              <w:pStyle w:val="10"/>
              <w:spacing w:before="182" w:line="181" w:lineRule="auto"/>
              <w:ind w:left="122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Трёхфазное напряжение 380 В, 50/60 Гц</w:t>
            </w:r>
          </w:p>
        </w:tc>
      </w:tr>
      <w:tr w14:paraId="45E7CD8C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3321A294"/>
        </w:tc>
        <w:tc>
          <w:tcPr>
            <w:tcW w:w="2106" w:type="dxa"/>
            <w:gridSpan w:val="2"/>
            <w:shd w:val="clear" w:color="auto" w:fill="F1F1F1"/>
          </w:tcPr>
          <w:p w14:paraId="2D7844CB">
            <w:pPr>
              <w:pStyle w:val="10"/>
              <w:spacing w:before="180" w:line="183" w:lineRule="auto"/>
              <w:ind w:left="106"/>
            </w:pP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Максимальная мощность</w:t>
            </w:r>
          </w:p>
        </w:tc>
        <w:tc>
          <w:tcPr>
            <w:tcW w:w="5855" w:type="dxa"/>
          </w:tcPr>
          <w:p w14:paraId="4716FCE6">
            <w:pPr>
              <w:spacing w:before="154" w:line="199" w:lineRule="auto"/>
              <w:ind w:left="111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eastAsia" w:eastAsia="SimSun"/>
                <w:spacing w:val="-5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230</w:t>
            </w:r>
            <w:r>
              <w:rPr>
                <w:rFonts w:hint="default" w:eastAsia="SimSun"/>
                <w:spacing w:val="-5"/>
                <w:sz w:val="24"/>
                <w:szCs w:val="24"/>
                <w:lang w:val="ru-RU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 xml:space="preserve">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кВт</w:t>
            </w:r>
          </w:p>
        </w:tc>
      </w:tr>
      <w:tr w14:paraId="7A848B91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08D7914B"/>
        </w:tc>
        <w:tc>
          <w:tcPr>
            <w:tcW w:w="2106" w:type="dxa"/>
            <w:gridSpan w:val="2"/>
            <w:shd w:val="clear" w:color="auto" w:fill="F1F1F1"/>
          </w:tcPr>
          <w:p w14:paraId="31567816">
            <w:pPr>
              <w:pStyle w:val="10"/>
              <w:spacing w:before="182" w:line="182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Входной кабель</w:t>
            </w:r>
          </w:p>
        </w:tc>
        <w:tc>
          <w:tcPr>
            <w:tcW w:w="5855" w:type="dxa"/>
          </w:tcPr>
          <w:p w14:paraId="2135A385">
            <w:pPr>
              <w:spacing w:before="154" w:line="199" w:lineRule="auto"/>
              <w:ind w:left="112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YJV — 4×</w:t>
            </w: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95</w:t>
            </w: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 мм² + 5</w:t>
            </w: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0</w:t>
            </w: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 мм²</w:t>
            </w:r>
          </w:p>
        </w:tc>
      </w:tr>
      <w:tr w14:paraId="1494E1C4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7A555C8F">
            <w:pPr>
              <w:spacing w:line="246" w:lineRule="auto"/>
            </w:pPr>
          </w:p>
          <w:p w14:paraId="7CA452BD">
            <w:pPr>
              <w:spacing w:line="246" w:lineRule="auto"/>
            </w:pPr>
          </w:p>
          <w:p w14:paraId="4E26C5E9">
            <w:pPr>
              <w:spacing w:line="247" w:lineRule="auto"/>
            </w:pPr>
          </w:p>
          <w:p w14:paraId="0BC7306A">
            <w:pPr>
              <w:spacing w:line="247" w:lineRule="auto"/>
            </w:pPr>
          </w:p>
          <w:p w14:paraId="2E135E7D">
            <w:pPr>
              <w:spacing w:line="247" w:lineRule="auto"/>
            </w:pPr>
          </w:p>
          <w:p w14:paraId="548D547B">
            <w:pPr>
              <w:pStyle w:val="10"/>
              <w:spacing w:before="103" w:line="183" w:lineRule="auto"/>
              <w:ind w:left="11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ы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2E1C8E1B">
            <w:pPr>
              <w:pStyle w:val="10"/>
              <w:spacing w:before="179" w:line="183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Способ подключения</w:t>
            </w:r>
          </w:p>
        </w:tc>
        <w:tc>
          <w:tcPr>
            <w:tcW w:w="5855" w:type="dxa"/>
          </w:tcPr>
          <w:p w14:paraId="76FE3B9E">
            <w:pPr>
              <w:pStyle w:val="10"/>
              <w:spacing w:before="179" w:line="183" w:lineRule="auto"/>
              <w:rPr>
                <w:rFonts w:hint="default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Однофазная двухпроводная система + заземление</w:t>
            </w:r>
          </w:p>
        </w:tc>
      </w:tr>
      <w:tr w14:paraId="21FD75EC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551F4C4C">
            <w:pPr>
              <w:rPr>
                <w:lang w:eastAsia="zh-CN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10E880FF">
            <w:pPr>
              <w:pStyle w:val="10"/>
              <w:spacing w:before="181" w:line="182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Выходное напряжение</w:t>
            </w:r>
          </w:p>
        </w:tc>
        <w:tc>
          <w:tcPr>
            <w:tcW w:w="5855" w:type="dxa"/>
          </w:tcPr>
          <w:p w14:paraId="1D2AB1CD">
            <w:pPr>
              <w:pStyle w:val="10"/>
              <w:spacing w:before="179" w:line="183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Переменное напряжение 220 В</w:t>
            </w:r>
          </w:p>
        </w:tc>
      </w:tr>
      <w:tr w14:paraId="5775D40D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2A0F83A8"/>
        </w:tc>
        <w:tc>
          <w:tcPr>
            <w:tcW w:w="2106" w:type="dxa"/>
            <w:gridSpan w:val="2"/>
            <w:shd w:val="clear" w:color="auto" w:fill="F1F1F1"/>
          </w:tcPr>
          <w:p w14:paraId="497978C1">
            <w:pPr>
              <w:pStyle w:val="10"/>
              <w:spacing w:before="181" w:line="183" w:lineRule="auto"/>
              <w:ind w:left="108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Мощность одной линии</w:t>
            </w:r>
          </w:p>
        </w:tc>
        <w:tc>
          <w:tcPr>
            <w:tcW w:w="5855" w:type="dxa"/>
          </w:tcPr>
          <w:p w14:paraId="413C3D80">
            <w:pPr>
              <w:spacing w:before="154" w:line="199" w:lineRule="auto"/>
              <w:ind w:left="113"/>
              <w:rPr>
                <w:rFonts w:hint="eastAsia" w:eastAsia="SimSun"/>
                <w:sz w:val="24"/>
                <w:szCs w:val="24"/>
                <w:lang w:val="en-US" w:eastAsia="zh-CN"/>
              </w:rPr>
            </w:pPr>
            <w:r>
              <w:rPr>
                <w:rFonts w:hint="eastAsia" w:eastAsia="SimSun"/>
                <w:sz w:val="24"/>
                <w:szCs w:val="24"/>
                <w:lang w:val="en-US" w:eastAsia="zh-CN"/>
              </w:rPr>
              <w:t xml:space="preserve">1P25A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Макс. 5,5 кВт (рекомендуемая фактическая нагрузка ≤ 4 кВт)</w:t>
            </w:r>
          </w:p>
          <w:p w14:paraId="4FE646C4">
            <w:pPr>
              <w:spacing w:before="154" w:line="199" w:lineRule="auto"/>
              <w:ind w:left="113"/>
              <w:rPr>
                <w:rFonts w:hint="default" w:eastAsia="SimSun"/>
                <w:sz w:val="24"/>
                <w:szCs w:val="24"/>
                <w:lang w:val="en-US" w:eastAsia="zh-CN"/>
              </w:rPr>
            </w:pPr>
            <w:r>
              <w:rPr>
                <w:rFonts w:hint="eastAsia" w:eastAsia="SimSun"/>
                <w:sz w:val="24"/>
                <w:szCs w:val="24"/>
                <w:lang w:val="en-US" w:eastAsia="zh-CN"/>
              </w:rPr>
              <w:t xml:space="preserve">1P63A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Макс. 5,5 кВт (рекомендуемая фактическая нагрузка ≤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8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 кВт)</w:t>
            </w:r>
          </w:p>
        </w:tc>
      </w:tr>
      <w:tr w14:paraId="2E2DCD83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3550655A"/>
        </w:tc>
        <w:tc>
          <w:tcPr>
            <w:tcW w:w="2106" w:type="dxa"/>
            <w:gridSpan w:val="2"/>
            <w:shd w:val="clear" w:color="auto" w:fill="F1F1F1"/>
          </w:tcPr>
          <w:p w14:paraId="4745CF1F">
            <w:pPr>
              <w:pStyle w:val="10"/>
              <w:spacing w:before="180" w:line="183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Количество выходных линий</w:t>
            </w:r>
          </w:p>
        </w:tc>
        <w:tc>
          <w:tcPr>
            <w:tcW w:w="5855" w:type="dxa"/>
          </w:tcPr>
          <w:p w14:paraId="7AA7D832">
            <w:pPr>
              <w:spacing w:before="153" w:line="198" w:lineRule="auto"/>
              <w:ind w:firstLine="222" w:firstLineChars="100"/>
              <w:rPr>
                <w:rFonts w:hint="default" w:eastAsia="SimSun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SimSun" w:cs="Arial"/>
                <w:b w:val="0"/>
                <w:bCs w:val="0"/>
                <w:spacing w:val="-9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42</w:t>
            </w:r>
            <w:r>
              <w:rPr>
                <w:rFonts w:hint="default" w:ascii="Arial" w:hAnsi="Arial" w:eastAsia="SimSun" w:cs="Arial"/>
                <w:b w:val="0"/>
                <w:bCs w:val="0"/>
                <w:spacing w:val="-9"/>
                <w:sz w:val="24"/>
                <w:szCs w:val="24"/>
                <w:lang w:val="ru-RU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 xml:space="preserve"> линии </w:t>
            </w:r>
            <w:r>
              <w:rPr>
                <w:rFonts w:hint="default" w:ascii="Arial" w:hAnsi="Arial" w:eastAsia="SimSun" w:cs="Arial"/>
                <w:b w:val="0"/>
                <w:bCs w:val="0"/>
                <w:spacing w:val="-9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1P25A / 12</w:t>
            </w:r>
            <w:r>
              <w:rPr>
                <w:rFonts w:hint="default" w:ascii="Arial" w:hAnsi="Arial" w:eastAsia="SimSun" w:cs="Arial"/>
                <w:b w:val="0"/>
                <w:bCs w:val="0"/>
                <w:spacing w:val="-9"/>
                <w:sz w:val="24"/>
                <w:szCs w:val="24"/>
                <w:lang w:val="ru-RU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 xml:space="preserve"> линий </w:t>
            </w:r>
            <w:r>
              <w:rPr>
                <w:rFonts w:hint="default" w:ascii="Arial" w:hAnsi="Arial" w:eastAsia="SimSun" w:cs="Arial"/>
                <w:b w:val="0"/>
                <w:bCs w:val="0"/>
                <w:spacing w:val="-9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1P63A</w:t>
            </w:r>
          </w:p>
        </w:tc>
      </w:tr>
      <w:tr w14:paraId="742D2C58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00484704"/>
        </w:tc>
        <w:tc>
          <w:tcPr>
            <w:tcW w:w="2106" w:type="dxa"/>
            <w:gridSpan w:val="2"/>
            <w:shd w:val="clear" w:color="auto" w:fill="F1F1F1"/>
          </w:tcPr>
          <w:p w14:paraId="6A836273">
            <w:pPr>
              <w:pStyle w:val="10"/>
              <w:spacing w:before="182" w:line="182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Выходной кабель</w:t>
            </w:r>
          </w:p>
        </w:tc>
        <w:tc>
          <w:tcPr>
            <w:tcW w:w="5855" w:type="dxa"/>
          </w:tcPr>
          <w:p w14:paraId="2F1C6274">
            <w:pPr>
              <w:spacing w:before="153" w:line="199" w:lineRule="auto"/>
              <w:ind w:left="127"/>
              <w:rPr>
                <w:rFonts w:hint="eastAsia" w:eastAsia="SimSu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RVV — 3×2,5 мм²</w:t>
            </w:r>
          </w:p>
        </w:tc>
      </w:tr>
      <w:tr w14:paraId="50042438">
        <w:trPr>
          <w:trHeight w:val="575" w:hRule="atLeast"/>
        </w:trPr>
        <w:tc>
          <w:tcPr>
            <w:tcW w:w="1745" w:type="dxa"/>
            <w:gridSpan w:val="2"/>
            <w:shd w:val="clear" w:color="auto" w:fill="F1F1F1"/>
          </w:tcPr>
          <w:p w14:paraId="4DE6DC93">
            <w:pPr>
              <w:pStyle w:val="10"/>
              <w:spacing w:before="180" w:line="183" w:lineRule="auto"/>
              <w:ind w:left="111"/>
              <w:rPr>
                <w:rFonts w:hint="eastAsia" w:eastAsia="Microsoft YaHei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Условия эксплуатации</w:t>
            </w:r>
          </w:p>
        </w:tc>
        <w:tc>
          <w:tcPr>
            <w:tcW w:w="1746" w:type="dxa"/>
            <w:shd w:val="clear" w:color="auto" w:fill="F1F1F1"/>
          </w:tcPr>
          <w:p w14:paraId="25F7F40A">
            <w:pPr>
              <w:pStyle w:val="10"/>
              <w:spacing w:before="180" w:line="183" w:lineRule="auto"/>
              <w:ind w:left="111"/>
              <w:rPr>
                <w:rFonts w:hint="eastAsia" w:eastAsia="Microsoft YaHei"/>
                <w:spacing w:val="-1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 w:eastAsia="zh-CN"/>
              </w:rPr>
              <w:t>Температура</w:t>
            </w:r>
          </w:p>
        </w:tc>
        <w:tc>
          <w:tcPr>
            <w:tcW w:w="5855" w:type="dxa"/>
          </w:tcPr>
          <w:p w14:paraId="737F6324">
            <w:pPr>
              <w:pStyle w:val="10"/>
              <w:spacing w:before="199" w:line="172" w:lineRule="auto"/>
              <w:ind w:left="117"/>
              <w:rPr>
                <w:rFonts w:hint="default" w:eastAsia="Microsoft YaHei"/>
                <w:spacing w:val="-3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-20℃-60℃</w:t>
            </w:r>
          </w:p>
        </w:tc>
      </w:tr>
      <w:tr w14:paraId="7992056C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027CFB7D">
            <w:pPr>
              <w:pStyle w:val="10"/>
              <w:spacing w:before="180" w:line="183" w:lineRule="auto"/>
              <w:ind w:left="111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Габариты шкафа</w:t>
            </w:r>
          </w:p>
        </w:tc>
        <w:tc>
          <w:tcPr>
            <w:tcW w:w="5855" w:type="dxa"/>
          </w:tcPr>
          <w:p w14:paraId="08D37353">
            <w:pPr>
              <w:pStyle w:val="10"/>
              <w:spacing w:before="199" w:line="172" w:lineRule="auto"/>
              <w:ind w:left="117"/>
              <w:rPr>
                <w:rFonts w:hint="default" w:eastAsia="Microsoft YaHei"/>
                <w:lang w:val="ru-RU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В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ысота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12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0 см × ширина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8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0 см × глубина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30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 см</w:t>
            </w:r>
          </w:p>
        </w:tc>
      </w:tr>
      <w:tr w14:paraId="36010B82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4B972E5A">
            <w:pPr>
              <w:pStyle w:val="10"/>
              <w:spacing w:before="180" w:line="184" w:lineRule="auto"/>
              <w:ind w:left="113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Материал корпуса</w:t>
            </w:r>
          </w:p>
        </w:tc>
        <w:tc>
          <w:tcPr>
            <w:tcW w:w="5855" w:type="dxa"/>
          </w:tcPr>
          <w:p w14:paraId="10ED657B">
            <w:pPr>
              <w:pStyle w:val="10"/>
              <w:spacing w:before="201" w:line="172" w:lineRule="auto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Холоднокатаная сталь</w:t>
            </w:r>
          </w:p>
        </w:tc>
      </w:tr>
      <w:tr w14:paraId="262B8378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4E45A152">
            <w:pPr>
              <w:pStyle w:val="10"/>
              <w:spacing w:before="181" w:line="183" w:lineRule="auto"/>
              <w:ind w:left="111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Бренды комплектующих</w:t>
            </w:r>
          </w:p>
        </w:tc>
        <w:tc>
          <w:tcPr>
            <w:tcW w:w="5855" w:type="dxa"/>
          </w:tcPr>
          <w:p w14:paraId="0881D88B">
            <w:pPr>
              <w:pStyle w:val="10"/>
              <w:spacing w:before="200" w:line="172" w:lineRule="auto"/>
              <w:ind w:left="128"/>
              <w:rPr>
                <w:rFonts w:hint="default" w:eastAsia="Microsoft YaHei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Высококлассная серия 6 компании Delixi (опционально: Chint, Schneider, Siemens, ABB и другие бренды)</w:t>
            </w:r>
          </w:p>
        </w:tc>
      </w:tr>
      <w:tr w14:paraId="2C59FC6B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6B72685">
            <w:pPr>
              <w:pStyle w:val="10"/>
              <w:spacing w:before="181" w:line="183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Степень защиты</w:t>
            </w:r>
          </w:p>
        </w:tc>
        <w:tc>
          <w:tcPr>
            <w:tcW w:w="5855" w:type="dxa"/>
          </w:tcPr>
          <w:p w14:paraId="0D4F946B">
            <w:pPr>
              <w:pStyle w:val="10"/>
              <w:spacing w:before="179" w:line="184" w:lineRule="auto"/>
              <w:ind w:left="128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>IP</w:t>
            </w:r>
            <w:r>
              <w:rPr>
                <w:rFonts w:hint="eastAsia"/>
                <w:lang w:val="en-US" w:eastAsia="zh-CN"/>
              </w:rPr>
              <w:t>43</w:t>
            </w:r>
          </w:p>
        </w:tc>
      </w:tr>
      <w:tr w14:paraId="194475FD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398E8C9">
            <w:pPr>
              <w:pStyle w:val="10"/>
              <w:spacing w:before="183" w:line="183" w:lineRule="auto"/>
              <w:ind w:left="11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Стандарты соответствия</w:t>
            </w:r>
          </w:p>
        </w:tc>
        <w:tc>
          <w:tcPr>
            <w:tcW w:w="5855" w:type="dxa"/>
          </w:tcPr>
          <w:p w14:paraId="4C0E1DDE">
            <w:pPr>
              <w:spacing w:before="157" w:line="215" w:lineRule="auto"/>
              <w:ind w:left="13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GB/T7251.12-2013</w:t>
            </w:r>
          </w:p>
        </w:tc>
      </w:tr>
      <w:tr w14:paraId="20481A81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919AC1B">
            <w:pPr>
              <w:pStyle w:val="10"/>
              <w:spacing w:before="183" w:line="183" w:lineRule="auto"/>
              <w:rPr>
                <w:rFonts w:hint="eastAsia" w:eastAsia="Microsoft YaHei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Информация об упаковке</w:t>
            </w:r>
          </w:p>
        </w:tc>
        <w:tc>
          <w:tcPr>
            <w:tcW w:w="5855" w:type="dxa"/>
          </w:tcPr>
          <w:p w14:paraId="6718C062">
            <w:pPr>
              <w:spacing w:before="157" w:line="215" w:lineRule="auto"/>
              <w:rPr>
                <w:rFonts w:hint="eastAsia" w:eastAsia="SimSu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Картонная коробка</w:t>
            </w:r>
          </w:p>
        </w:tc>
      </w:tr>
      <w:tr w14:paraId="3712CAAB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66CDE8C">
            <w:pPr>
              <w:pStyle w:val="10"/>
              <w:spacing w:before="183" w:line="183" w:lineRule="auto"/>
              <w:rPr>
                <w:rFonts w:hint="eastAsia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Информация о сертификации</w:t>
            </w:r>
          </w:p>
        </w:tc>
        <w:tc>
          <w:tcPr>
            <w:tcW w:w="5855" w:type="dxa"/>
          </w:tcPr>
          <w:p w14:paraId="5C802C19">
            <w:pPr>
              <w:spacing w:before="157" w:line="215" w:lineRule="auto"/>
              <w:ind w:left="131"/>
              <w:rPr>
                <w:rFonts w:hint="default" w:eastAsia="SimSu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CQC, CE, FCC, RoHS, патентные свидетельства и свидетельства об авторских правах на программное обеспечение</w:t>
            </w:r>
          </w:p>
        </w:tc>
      </w:tr>
      <w:bookmarkEnd w:id="2"/>
    </w:tbl>
    <w:p w14:paraId="45CDABDF">
      <w:pPr>
        <w:sectPr>
          <w:headerReference r:id="rId11" w:type="first"/>
          <w:headerReference r:id="rId9" w:type="default"/>
          <w:headerReference r:id="rId10" w:type="even"/>
          <w:pgSz w:w="11909" w:h="16834"/>
          <w:pgMar w:top="1440" w:right="1080" w:bottom="1440" w:left="1080" w:header="0" w:footer="0" w:gutter="0"/>
          <w:cols w:space="720" w:num="1"/>
        </w:sectPr>
      </w:pPr>
    </w:p>
    <w:p w14:paraId="32E01FCE">
      <w:pPr>
        <w:spacing w:before="104" w:line="223" w:lineRule="auto"/>
        <w:outlineLvl w:val="0"/>
        <w:rPr>
          <w:rFonts w:hint="eastAsia" w:ascii="SimHei" w:hAnsi="SimHei" w:eastAsia="SimHei" w:cs="SimHei"/>
          <w:sz w:val="32"/>
          <w:szCs w:val="32"/>
          <w:u w:val="single"/>
          <w:lang w:eastAsia="zh-CN"/>
        </w:rPr>
      </w:pPr>
    </w:p>
    <w:p w14:paraId="5A170E78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III. Эксплуатационные характеристики продукции</w:t>
      </w:r>
    </w:p>
    <w:p w14:paraId="185763E2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1. Основные функции:</w:t>
      </w:r>
    </w:p>
    <w:p w14:paraId="456E69BB">
      <w:pPr>
        <w:pStyle w:val="7"/>
        <w:keepNext w:val="0"/>
        <w:keepLines w:val="0"/>
        <w:widowControl/>
        <w:suppressLineNumbers w:val="0"/>
        <w:ind w:left="0" w:firstLine="0"/>
        <w:jc w:val="left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(1) Комплектующие серии 6 высокого класса Delixi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(2) Трёхфазная защита от превышения тока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(3) Индикаторы состояния трёхфазного питания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(4) Индикатор рабочего состояния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(5) Розетка для технического обслуживания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(6) Дистанционное управление одной кнопкой через сухой контакт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(7) Каскадное управление через сухой контакт</w:t>
      </w:r>
    </w:p>
    <w:p w14:paraId="0762549B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2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Функция управления по времени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автоматическое включение и выключение по расписанию.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3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 xml:space="preserve"> 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Функция дистанционного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 дистанционное управление на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ограниченном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 расстоянии.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4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Управление через мобильное облачное приложение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управление с телефона без ограничения по расстоянию.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5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Многофункциональная карта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Nova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>Star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, Colorlight, Linsn, Kystar, ZHONGHANG, Mo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>S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ier и др.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6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Функция PLC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на компьютер устанавливается специальное программное обеспечение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 xml:space="preserve">.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Л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юбой компьютер в локальной сети может управлять любым распределительным шкафом. Возможна централизованная работа с несколькими шкафами. Интерфейс управления может отображать такие параметры внутри LED-экрана, как температура, влажность, наличие дыма и т. д.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7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Управление через центральную систему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позволяет управлять одним или несколькими распределительными шкафами через центральную систему управления.</w:t>
      </w:r>
    </w:p>
    <w:p w14:paraId="0BFB65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textAlignment w:val="baseline"/>
      </w:pPr>
    </w:p>
    <w:p w14:paraId="426A2613">
      <w:pPr>
        <w:spacing w:before="4"/>
      </w:pPr>
    </w:p>
    <w:p w14:paraId="0DBE6CFE">
      <w:pPr>
        <w:pStyle w:val="7"/>
        <w:keepNext w:val="0"/>
        <w:keepLines w:val="0"/>
        <w:widowControl/>
        <w:suppressLineNumbers w:val="0"/>
        <w:ind w:left="0" w:firstLine="0"/>
        <w:rPr>
          <w:rStyle w:val="8"/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/>
          <w:spacing w:val="0"/>
          <w:sz w:val="20"/>
          <w:szCs w:val="20"/>
        </w:rPr>
        <w:t>IV. Защита и безопасность</w:t>
      </w:r>
    </w:p>
    <w:p w14:paraId="2010B419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короткого замыкания</w:t>
      </w:r>
    </w:p>
    <w:p w14:paraId="60C4BA6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перегрузки</w:t>
      </w:r>
    </w:p>
    <w:p w14:paraId="11373591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перенапряжений, вызванных грозовыми разрядами (опционально)</w:t>
      </w:r>
    </w:p>
    <w:p w14:paraId="5AC69E7C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утечки тока (опционально)</w:t>
      </w:r>
    </w:p>
    <w:p w14:paraId="4B07298D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пониженного и повышенного напряжения (опционально)</w:t>
      </w:r>
    </w:p>
    <w:p w14:paraId="185A4150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обрыва фазы (опционально)</w:t>
      </w:r>
    </w:p>
    <w:p w14:paraId="5F27C74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Отключение питания при высокой температуре (опционально)</w:t>
      </w:r>
    </w:p>
    <w:p w14:paraId="4F74B6A1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Отключение питания при срабатывании датчика дыма (опционально)</w:t>
      </w:r>
    </w:p>
    <w:p w14:paraId="7F5D2F6D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Сигнализация при открытии двери (опционально)</w:t>
      </w:r>
    </w:p>
    <w:p w14:paraId="23CD60F0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Сигнализация при обнаружении пламени (опционально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)</w:t>
      </w:r>
    </w:p>
    <w:p w14:paraId="295AB9B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нулевого кабеля от перегрева (опционально)</w:t>
      </w:r>
    </w:p>
    <w:p w14:paraId="196A8270">
      <w:pPr>
        <w:spacing w:before="4"/>
        <w:rPr>
          <w:rFonts w:hint="eastAsia" w:eastAsia="SimSun"/>
          <w:sz w:val="22"/>
          <w:szCs w:val="22"/>
          <w:lang w:eastAsia="zh-CN"/>
        </w:rPr>
      </w:pPr>
    </w:p>
    <w:p w14:paraId="56FEACEF">
      <w:pPr>
        <w:spacing w:before="4"/>
        <w:rPr>
          <w:rFonts w:hint="eastAsia" w:eastAsia="SimSun"/>
          <w:lang w:eastAsia="zh-CN"/>
        </w:rPr>
      </w:pPr>
    </w:p>
    <w:p w14:paraId="0EDB0D6A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V. Управление электропотреблением (опционально)</w:t>
      </w:r>
    </w:p>
    <w:p w14:paraId="62F221C0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1.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Дистанционное управление, мониторинг в режиме реального времени, предварительное предупреждение и аварийная сигнализация, анализ энергопотребления.</w:t>
      </w:r>
    </w:p>
    <w:p w14:paraId="6E1529B9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2.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Мониторинг в режиме реального времени параметров электропотребления каждой линии (например: ток, напряжение, ток утечки, мощность, температура и т. д.).</w:t>
      </w:r>
    </w:p>
    <w:p w14:paraId="6B92BB2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3.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Ограничение мощности: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в пределах допустимой мощности можно свободно задавать номинальную мощность каждой линии электропотребления. Через платформу можно гибко устанавливать пороговые значения для предупреждений и аварийной сигнализации, а также корректировать значения защиты линий уже после установки. Это позволяет предотвращать неправильное использование мощных электроприборов и снижать риски, связанные с электропотреблением.</w:t>
      </w:r>
    </w:p>
    <w:p w14:paraId="56310F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b/>
          <w:bCs/>
        </w:rPr>
      </w:pPr>
    </w:p>
    <w:p w14:paraId="744AF6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b/>
          <w:bCs/>
        </w:rPr>
      </w:pPr>
    </w:p>
    <w:p w14:paraId="42017E5D">
      <w:pPr>
        <w:spacing w:before="4"/>
      </w:pPr>
    </w:p>
    <w:p w14:paraId="125D0A21">
      <w:pPr>
        <w:spacing w:before="4"/>
      </w:pPr>
    </w:p>
    <w:p w14:paraId="039FA50A">
      <w:pPr>
        <w:spacing w:before="4"/>
      </w:pPr>
    </w:p>
    <w:p w14:paraId="0A6E3319">
      <w:pPr>
        <w:spacing w:before="4"/>
      </w:pPr>
    </w:p>
    <w:p w14:paraId="2E339719">
      <w:pPr>
        <w:spacing w:before="4"/>
      </w:pPr>
    </w:p>
    <w:p w14:paraId="27BFE535">
      <w:pPr>
        <w:spacing w:before="4"/>
      </w:pPr>
    </w:p>
    <w:p w14:paraId="12294FCE">
      <w:pPr>
        <w:spacing w:before="4"/>
      </w:pPr>
    </w:p>
    <w:p w14:paraId="16642472">
      <w:pPr>
        <w:spacing w:before="4"/>
      </w:pPr>
    </w:p>
    <w:p w14:paraId="4D3B350D">
      <w:pPr>
        <w:spacing w:before="4"/>
      </w:pPr>
    </w:p>
    <w:p w14:paraId="572EBBB2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eastAsia" w:ascii="SimHei" w:hAnsi="SimHei" w:eastAsia="SimHei" w:cs="SimHei"/>
          <w:b/>
          <w:bCs/>
          <w:sz w:val="32"/>
          <w:szCs w:val="32"/>
          <w:u w:val="single"/>
          <w:lang w:eastAsia="zh-CN"/>
        </w:rPr>
      </w:pPr>
      <w:bookmarkStart w:id="3" w:name="_Hlk148375924"/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VI. Информация об установке</w:t>
      </w:r>
    </w:p>
    <w:bookmarkEnd w:id="3"/>
    <w:p w14:paraId="7D388D70">
      <w:pPr>
        <w:bidi w:val="0"/>
        <w:rPr>
          <w:lang w:val="en-US" w:eastAsia="en-US"/>
        </w:rPr>
      </w:pPr>
    </w:p>
    <w:p w14:paraId="4BA46272">
      <w:pPr>
        <w:tabs>
          <w:tab w:val="left" w:pos="240"/>
        </w:tabs>
        <w:bidi w:val="0"/>
        <w:jc w:val="center"/>
      </w:pPr>
      <w:r>
        <w:drawing>
          <wp:inline distT="0" distB="0" distL="114300" distR="114300">
            <wp:extent cx="6640195" cy="3920490"/>
            <wp:effectExtent l="0" t="0" r="8255" b="38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392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37655" cy="4497705"/>
            <wp:effectExtent l="0" t="0" r="10795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37655" cy="449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72ACB">
      <w:pPr>
        <w:tabs>
          <w:tab w:val="left" w:pos="240"/>
        </w:tabs>
        <w:bidi w:val="0"/>
        <w:jc w:val="center"/>
        <w:rPr>
          <w:rFonts w:hint="eastAsia"/>
          <w:lang w:val="en-US" w:eastAsia="zh-CN"/>
        </w:rPr>
        <w:sectPr>
          <w:headerReference r:id="rId14" w:type="first"/>
          <w:headerReference r:id="rId12" w:type="default"/>
          <w:headerReference r:id="rId13" w:type="even"/>
          <w:pgSz w:w="11909" w:h="16834"/>
          <w:pgMar w:top="720" w:right="720" w:bottom="720" w:left="720" w:header="0" w:footer="0" w:gutter="0"/>
          <w:cols w:space="720" w:num="1"/>
        </w:sectPr>
      </w:pPr>
    </w:p>
    <w:bookmarkEnd w:id="0"/>
    <w:p w14:paraId="201289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1" w:line="20" w:lineRule="exact"/>
        <w:textAlignment w:val="baseline"/>
        <w:outlineLvl w:val="0"/>
        <w:rPr>
          <w:rFonts w:ascii="SimHei" w:hAnsi="SimHei" w:eastAsia="SimHei" w:cs="SimHei"/>
          <w:sz w:val="27"/>
          <w:szCs w:val="27"/>
        </w:rPr>
      </w:pPr>
    </w:p>
    <w:p w14:paraId="06D3520C">
      <w:pPr>
        <w:bidi w:val="0"/>
        <w:rPr>
          <w:rFonts w:ascii="Arial" w:hAnsi="Arial" w:eastAsia="Arial" w:cs="Arial"/>
          <w:snapToGrid w:val="0"/>
          <w:color w:val="000000"/>
          <w:sz w:val="21"/>
          <w:szCs w:val="21"/>
          <w:lang w:val="en-US" w:eastAsia="en-US" w:bidi="ar-SA"/>
        </w:rPr>
      </w:pPr>
    </w:p>
    <w:p w14:paraId="546638EA">
      <w:pPr>
        <w:bidi w:val="0"/>
        <w:rPr>
          <w:lang w:val="en-US" w:eastAsia="en-US"/>
        </w:rPr>
      </w:pPr>
    </w:p>
    <w:p w14:paraId="17A6CC25">
      <w:pPr>
        <w:bidi w:val="0"/>
        <w:rPr>
          <w:rFonts w:hint="eastAsia" w:eastAsia="SimSun"/>
          <w:lang w:val="en-US" w:eastAsia="zh-CN"/>
        </w:rPr>
      </w:pPr>
    </w:p>
    <w:p w14:paraId="37198CBB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eastAsia" w:ascii="SimHei" w:hAnsi="SimHei" w:eastAsia="SimHei" w:cs="SimHei"/>
          <w:b/>
          <w:bCs/>
          <w:sz w:val="32"/>
          <w:szCs w:val="32"/>
          <w:u w:val="single"/>
          <w:lang w:eastAsia="zh-CN"/>
        </w:rPr>
      </w:pPr>
      <w:r>
        <w:rPr>
          <w:rFonts w:hint="eastAsia" w:ascii="SimHei" w:hAnsi="SimHei" w:eastAsia="SimHei" w:cs="SimHei"/>
          <w:b/>
          <w:bCs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SimHei" w:hAnsi="SimHei" w:eastAsia="SimHei" w:cs="SimHei"/>
          <w:b/>
          <w:bCs/>
          <w:sz w:val="32"/>
          <w:szCs w:val="32"/>
          <w:u w:val="none"/>
          <w:lang w:val="en-US" w:eastAsia="zh-CN"/>
        </w:rPr>
        <w:t xml:space="preserve"> </w:t>
      </w:r>
      <w:r>
        <w:rPr>
          <w:rStyle w:val="8"/>
          <w:i w:val="0"/>
          <w:iCs w:val="0"/>
          <w:caps w:val="0"/>
          <w:color w:val="000000"/>
          <w:spacing w:val="0"/>
        </w:rPr>
        <w:t>VII. Принципиальная схема</w:t>
      </w:r>
      <w:bookmarkStart w:id="4" w:name="_GoBack"/>
      <w:bookmarkEnd w:id="4"/>
    </w:p>
    <w:p w14:paraId="40D86D35">
      <w:pPr>
        <w:bidi w:val="0"/>
        <w:rPr>
          <w:lang w:val="en-US" w:eastAsia="en-US"/>
        </w:rPr>
      </w:pPr>
    </w:p>
    <w:p w14:paraId="21DEABBD">
      <w:pPr>
        <w:bidi w:val="0"/>
        <w:rPr>
          <w:lang w:val="en-US" w:eastAsia="en-US"/>
        </w:rPr>
      </w:pPr>
    </w:p>
    <w:p w14:paraId="390EC2D8">
      <w:pPr>
        <w:tabs>
          <w:tab w:val="left" w:pos="765"/>
        </w:tabs>
        <w:bidi w:val="0"/>
        <w:jc w:val="left"/>
      </w:pPr>
      <w:r>
        <w:rPr>
          <w:rFonts w:hint="eastAsia" w:eastAsia="SimSun"/>
          <w:lang w:val="en-US" w:eastAsia="zh-CN"/>
        </w:rPr>
        <w:tab/>
      </w:r>
    </w:p>
    <w:p w14:paraId="4C90A3BC">
      <w:pPr>
        <w:tabs>
          <w:tab w:val="left" w:pos="765"/>
        </w:tabs>
        <w:bidi w:val="0"/>
        <w:jc w:val="center"/>
      </w:pPr>
    </w:p>
    <w:p w14:paraId="61226CC9">
      <w:pPr>
        <w:tabs>
          <w:tab w:val="left" w:pos="765"/>
        </w:tabs>
        <w:bidi w:val="0"/>
        <w:jc w:val="center"/>
      </w:pPr>
      <w:r>
        <w:drawing>
          <wp:inline distT="0" distB="0" distL="114300" distR="114300">
            <wp:extent cx="7536815" cy="3032760"/>
            <wp:effectExtent l="0" t="0" r="698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36815" cy="30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D2824">
      <w:pPr>
        <w:tabs>
          <w:tab w:val="left" w:pos="765"/>
        </w:tabs>
        <w:bidi w:val="0"/>
        <w:jc w:val="center"/>
      </w:pPr>
    </w:p>
    <w:p w14:paraId="4A6A180C">
      <w:pPr>
        <w:tabs>
          <w:tab w:val="left" w:pos="765"/>
        </w:tabs>
        <w:bidi w:val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2971800" cy="5161915"/>
            <wp:effectExtent l="0" t="0" r="0" b="6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516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17" w:type="first"/>
      <w:headerReference r:id="rId15" w:type="default"/>
      <w:headerReference r:id="rId16" w:type="even"/>
      <w:pgSz w:w="11909" w:h="16834"/>
      <w:pgMar w:top="400" w:right="28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Microsoft YaHei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imHei">
    <w:altName w:val="黑体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0806F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53FD5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C8AAA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CE6C7">
    <w:pPr>
      <w:pStyle w:val="6"/>
    </w:pPr>
    <w:r>
      <w:rPr>
        <w:snapToGrid/>
      </w:rPr>
      <w:pict>
        <v:shape id="WordPictureWatermark44021252" o:spid="_x0000_s1081" o:spt="75" type="#_x0000_t75" style="position:absolute;left:0pt;height:841.15pt;width:595.4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D33BCF">
    <w:pPr>
      <w:pStyle w:val="6"/>
    </w:pPr>
    <w:r>
      <w:rPr>
        <w:snapToGrid/>
      </w:rPr>
      <w:pict>
        <v:shape id="WordPictureWatermark44021251" o:spid="_x0000_s1080" o:spt="75" type="#_x0000_t75" style="position:absolute;left:0pt;height:841.15pt;width:595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92068">
    <w:pPr>
      <w:pStyle w:val="6"/>
    </w:pPr>
    <w:r>
      <w:rPr>
        <w:snapToGrid/>
      </w:rPr>
      <w:pict>
        <v:shape id="WordPictureWatermark44021250" o:spid="_x0000_s1079" o:spt="75" type="#_x0000_t75" style="position:absolute;left:0pt;height:841.15pt;width:595.4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E0CC6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1" o:spid="_x0000_s1090" o:spt="75" type="#_x0000_t75" style="position:absolute;left:0pt;height:841.15pt;width:595.4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CD3DC">
    <w:pPr>
      <w:pStyle w:val="6"/>
    </w:pPr>
    <w:r>
      <w:rPr>
        <w:snapToGrid/>
      </w:rPr>
      <w:pict>
        <v:shape id="WordPictureWatermark44021260" o:spid="_x0000_s1089" o:spt="75" type="#_x0000_t75" style="position:absolute;left:0pt;height:841.15pt;width:595.4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C7476">
    <w:pPr>
      <w:pStyle w:val="6"/>
    </w:pPr>
    <w:r>
      <w:rPr>
        <w:snapToGrid/>
      </w:rPr>
      <w:pict>
        <v:shape id="WordPictureWatermark44021259" o:spid="_x0000_s1088" o:spt="75" type="#_x0000_t75" style="position:absolute;left:0pt;height:841.15pt;width:595.4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B089C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4" o:spid="_x0000_s1093" o:spt="75" type="#_x0000_t75" style="position:absolute;left:0pt;height:841.15pt;width:595.4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91663">
    <w:pPr>
      <w:pStyle w:val="6"/>
    </w:pPr>
    <w:r>
      <w:rPr>
        <w:snapToGrid/>
      </w:rPr>
      <w:pict>
        <v:shape id="WordPictureWatermark44021263" o:spid="_x0000_s1092" o:spt="75" type="#_x0000_t75" style="position:absolute;left:0pt;height:841.15pt;width:595.4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3862F">
    <w:pPr>
      <w:pStyle w:val="6"/>
    </w:pPr>
    <w:r>
      <w:rPr>
        <w:snapToGrid/>
      </w:rPr>
      <w:pict>
        <v:shape id="WordPictureWatermark44021262" o:spid="_x0000_s1091" o:spt="75" type="#_x0000_t75" style="position:absolute;left:0pt;height:841.15pt;width:595.4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BF7F8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7" o:spid="_x0000_s1096" o:spt="75" type="#_x0000_t75" style="position:absolute;left:0pt;height:841.15pt;width:595.4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3262B">
    <w:pPr>
      <w:pStyle w:val="6"/>
    </w:pPr>
    <w:r>
      <w:rPr>
        <w:snapToGrid/>
      </w:rPr>
      <w:pict>
        <v:shape id="WordPictureWatermark44021266" o:spid="_x0000_s1095" o:spt="75" type="#_x0000_t75" style="position:absolute;left:0pt;height:841.15pt;width:595.4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492CE">
    <w:pPr>
      <w:pStyle w:val="6"/>
    </w:pPr>
    <w:r>
      <w:rPr>
        <w:snapToGrid/>
      </w:rPr>
      <w:pict>
        <v:shape id="WordPictureWatermark44021265" o:spid="_x0000_s1094" o:spt="75" type="#_x0000_t75" style="position:absolute;left:0pt;height:841.15pt;width:595.4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B74764"/>
    <w:multiLevelType w:val="singleLevel"/>
    <w:tmpl w:val="AEB7476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EDC019A"/>
    <w:multiLevelType w:val="singleLevel"/>
    <w:tmpl w:val="BEDC019A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6D5F444A"/>
    <w:multiLevelType w:val="singleLevel"/>
    <w:tmpl w:val="6D5F444A"/>
    <w:lvl w:ilvl="0" w:tentative="0">
      <w:start w:val="4"/>
      <w:numFmt w:val="decimal"/>
      <w:suff w:val="space"/>
      <w:lvlText w:val="%1."/>
      <w:lvlJc w:val="left"/>
      <w:rPr>
        <w:rFonts w:hint="default" w:ascii="Times New Roman" w:hAnsi="Times New Roman" w:cs="Times New Roman"/>
        <w:b w:val="0"/>
        <w:bCs w:val="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displayBackgroundShape w:val="1"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1"/>
    </o:shapelayout>
  </w:hdrShapeDefaults>
  <w:compat>
    <w:spaceForUL/>
    <w:ulTrailSpace/>
    <w:compatSetting w:name="compatibilityMode" w:uri="http://schemas.microsoft.com/office/word" w:val="14"/>
  </w:compat>
  <w:docVars>
    <w:docVar w:name="commondata" w:val="eyJoZGlkIjoiYzE4NmI2MGMxMGNmZjRjOWQyMTM1M2M0Y2RjNzU0ZjMifQ=="/>
  </w:docVars>
  <w:rsids>
    <w:rsidRoot w:val="001A190A"/>
    <w:rsid w:val="00080079"/>
    <w:rsid w:val="001A190A"/>
    <w:rsid w:val="002A12F7"/>
    <w:rsid w:val="00615495"/>
    <w:rsid w:val="00897A23"/>
    <w:rsid w:val="009C3199"/>
    <w:rsid w:val="00D7030B"/>
    <w:rsid w:val="045370A8"/>
    <w:rsid w:val="06E64E63"/>
    <w:rsid w:val="08720631"/>
    <w:rsid w:val="0937007F"/>
    <w:rsid w:val="0AD41BFE"/>
    <w:rsid w:val="0CBD0903"/>
    <w:rsid w:val="1177101B"/>
    <w:rsid w:val="194C6611"/>
    <w:rsid w:val="1A3C3081"/>
    <w:rsid w:val="1E2D387D"/>
    <w:rsid w:val="20F72B81"/>
    <w:rsid w:val="214C22F5"/>
    <w:rsid w:val="225F6C5B"/>
    <w:rsid w:val="2AF3260E"/>
    <w:rsid w:val="2CB77F57"/>
    <w:rsid w:val="3F57057C"/>
    <w:rsid w:val="42DC2E3E"/>
    <w:rsid w:val="436B2962"/>
    <w:rsid w:val="48005ABF"/>
    <w:rsid w:val="492137B7"/>
    <w:rsid w:val="4A267B38"/>
    <w:rsid w:val="4C33695C"/>
    <w:rsid w:val="546A5C25"/>
    <w:rsid w:val="55FFBB8D"/>
    <w:rsid w:val="5D641470"/>
    <w:rsid w:val="602A7B00"/>
    <w:rsid w:val="63396F3B"/>
    <w:rsid w:val="692F213F"/>
    <w:rsid w:val="6D296C84"/>
    <w:rsid w:val="7EA3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8">
    <w:name w:val="Strong"/>
    <w:basedOn w:val="2"/>
    <w:qFormat/>
    <w:uiPriority w:val="0"/>
    <w:rPr>
      <w:b/>
      <w:bCs/>
    </w:rPr>
  </w:style>
  <w:style w:type="table" w:customStyle="1" w:styleId="9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character" w:customStyle="1" w:styleId="11">
    <w:name w:val="页眉 字符"/>
    <w:basedOn w:val="2"/>
    <w:link w:val="6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2">
    <w:name w:val="页脚 字符"/>
    <w:basedOn w:val="2"/>
    <w:link w:val="5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7.png"/><Relationship Id="rId23" Type="http://schemas.openxmlformats.org/officeDocument/2006/relationships/image" Target="media/image6.png"/><Relationship Id="rId22" Type="http://schemas.openxmlformats.org/officeDocument/2006/relationships/image" Target="media/image5.png"/><Relationship Id="rId21" Type="http://schemas.openxmlformats.org/officeDocument/2006/relationships/image" Target="media/image4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jpe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81"/>
    <customShpInfo spid="_x0000_s1080"/>
    <customShpInfo spid="_x0000_s1079"/>
    <customShpInfo spid="_x0000_s1090"/>
    <customShpInfo spid="_x0000_s1089"/>
    <customShpInfo spid="_x0000_s1088"/>
    <customShpInfo spid="_x0000_s1093"/>
    <customShpInfo spid="_x0000_s1092"/>
    <customShpInfo spid="_x0000_s1091"/>
    <customShpInfo spid="_x0000_s1096"/>
    <customShpInfo spid="_x0000_s1095"/>
    <customShpInfo spid="_x0000_s1094"/>
    <customShpInfo spid="_x0000_s2050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4A6FC5-9C29-4B45-B8C1-E117F923B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1071</Words>
  <Characters>1203</Characters>
  <Lines>8</Lines>
  <Paragraphs>2</Paragraphs>
  <TotalTime>1</TotalTime>
  <ScaleCrop>false</ScaleCrop>
  <LinksUpToDate>false</LinksUpToDate>
  <CharactersWithSpaces>1220</CharactersWithSpaces>
  <Application>WPS Office_12.1.26015.26015_F1E327BC-269C-435d-A152-05C5408002CA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2022-05-07T12:45:00Z</dcterms:created>
  <dc:creator>陈年</dc:creator>
  <cp:lastModifiedBy>Yulia Glazetskaya</cp:lastModifiedBy>
  <dcterms:modified xsi:type="dcterms:W3CDTF">2026-09-18T16:49:43Z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2023-10-15T10:44:24Z</vt:filetime>
  </property>
  <property fmtid="{D5CDD505-2E9C-101B-9397-08002B2CF9AE}" pid="4" name="KSOProductBuildVer">
    <vt:lpwstr>1033-12.1.26015.26015</vt:lpwstr>
  </property>
  <property fmtid="{D5CDD505-2E9C-101B-9397-08002B2CF9AE}" pid="5" name="ICV">
    <vt:lpwstr>628018A14E4271197741AD6ADB4DC642_43</vt:lpwstr>
  </property>
  <property fmtid="{D5CDD505-2E9C-101B-9397-08002B2CF9AE}" pid="6" name="KSOTemplateDocerSaveRecord">
    <vt:lpwstr>eyJoZGlkIjoiNzdkMzczZmI3M2RiZDUxYjBiYmI5MTM3NWQ5MTIzODciLCJ1c2VySWQiOiIyNTcxNjczNzgifQ==</vt:lpwstr>
  </property>
</Properties>
</file>