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07741D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  <w:bookmarkStart w:id="0" w:name="_Hlk148375851"/>
      <w:r>
        <w:rPr>
          <w:rFonts w:hint="default" w:ascii="Times New Roman Regular" w:hAnsi="Times New Roman Regular" w:cs="Times New Roman Regular"/>
          <w:snapToGrid/>
          <w:sz w:val="20"/>
          <w:szCs w:val="2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20320</wp:posOffset>
            </wp:positionH>
            <wp:positionV relativeFrom="paragraph">
              <wp:posOffset>-19050</wp:posOffset>
            </wp:positionV>
            <wp:extent cx="7293610" cy="10774680"/>
            <wp:effectExtent l="0" t="0" r="2540" b="7620"/>
            <wp:wrapNone/>
            <wp:docPr id="21346645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664551" name="图片 1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610" cy="10774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BD5BE5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AD837CC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9430BA6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D6BAAC8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0F4E80E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A0BD22A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39DB1BB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2D84B4A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8CE9876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Fonts w:hint="default" w:ascii="Times New Roman Regular" w:hAnsi="Times New Roman Regular" w:cs="Times New Roman Regular"/>
          <w:sz w:val="20"/>
          <w:szCs w:val="20"/>
        </w:rPr>
        <w:pict>
          <v:shape id="_x0000_s2050" o:spid="_x0000_s2050" o:spt="202" type="#_x0000_t202" style="position:absolute;left:0pt;margin-left:28.85pt;margin-top:122.3pt;height:681.6pt;width:524.0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736610EF"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default" w:ascii="Times New Roman Regular" w:hAnsi="Times New Roman Regular" w:cs="Times New Roman Regular"/>
                      <w:b/>
                      <w:bCs w:val="0"/>
                      <w:sz w:val="32"/>
                      <w:szCs w:val="32"/>
                    </w:rPr>
                  </w:pP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/>
                      <w:bCs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32"/>
                      <w:szCs w:val="32"/>
                      <w:lang w:val="en-US" w:eastAsia="zh-CN" w:bidi="ar"/>
                    </w:rPr>
                    <w:t xml:space="preserve">Интеллектуальный распределительный шкаф </w:t>
                  </w:r>
                </w:p>
                <w:p w14:paraId="2FAA35AE">
                  <w:pPr>
                    <w:spacing w:before="130" w:line="223" w:lineRule="auto"/>
                    <w:ind w:left="20"/>
                    <w:rPr>
                      <w:rFonts w:hint="default" w:ascii="Times New Roman Regular" w:hAnsi="Times New Roman Regular" w:eastAsia="SimHei" w:cs="Times New Roman Regular"/>
                      <w:sz w:val="32"/>
                      <w:szCs w:val="32"/>
                      <w:lang w:val="en-US" w:eastAsia="zh-CN"/>
                    </w:rPr>
                  </w:pPr>
                  <w:r>
                    <w:rPr>
                      <w:rFonts w:hint="default" w:ascii="Times New Roman Regular" w:hAnsi="Times New Roman Regular" w:eastAsia="SimHei" w:cs="Times New Roman Regular"/>
                      <w:sz w:val="32"/>
                      <w:szCs w:val="32"/>
                      <w:lang w:val="en-US" w:eastAsia="zh-CN"/>
                    </w:rPr>
                    <w:t>HX66-12</w:t>
                  </w:r>
                </w:p>
                <w:p w14:paraId="142052A9">
                  <w:pPr>
                    <w:spacing w:before="130" w:line="223" w:lineRule="auto"/>
                    <w:ind w:left="20"/>
                    <w:rPr>
                      <w:rFonts w:hint="eastAsia" w:ascii="SimHei" w:hAnsi="SimHei" w:eastAsia="SimHei" w:cs="SimHei"/>
                      <w:sz w:val="32"/>
                      <w:szCs w:val="32"/>
                      <w:lang w:val="en-US" w:eastAsia="zh-CN"/>
                    </w:rPr>
                  </w:pPr>
                </w:p>
                <w:p w14:paraId="0768B28F">
                  <w:pPr>
                    <w:spacing w:before="19" w:line="179" w:lineRule="auto"/>
                    <w:jc w:val="center"/>
                    <w:outlineLvl w:val="0"/>
                    <w:rPr>
                      <w:rFonts w:ascii="Calibri" w:hAnsi="Calibri" w:eastAsia="Calibri" w:cs="Calibri"/>
                      <w:sz w:val="32"/>
                      <w:szCs w:val="32"/>
                      <w:lang w:eastAsia="zh-CN"/>
                    </w:rPr>
                  </w:pPr>
                  <w:r>
                    <w:rPr>
                      <w:rFonts w:hint="eastAsia"/>
                      <w:b/>
                      <w:bCs/>
                      <w:sz w:val="30"/>
                      <w:szCs w:val="30"/>
                      <w:lang w:val="en-US" w:eastAsia="zh-CN"/>
                    </w:rPr>
                    <w:t xml:space="preserve">                                                  </w:t>
                  </w:r>
                  <w:r>
                    <w:rPr>
                      <w:b/>
                      <w:bCs/>
                      <w:sz w:val="30"/>
                      <w:szCs w:val="30"/>
                      <w:lang w:eastAsia="zh-CN"/>
                    </w:rPr>
                    <w:drawing>
                      <wp:inline distT="0" distB="0" distL="114300" distR="114300">
                        <wp:extent cx="1685290" cy="2390140"/>
                        <wp:effectExtent l="0" t="0" r="16510" b="22860"/>
                        <wp:docPr id="6" name="图片 6" descr="b2082ee14ba495b917f50fa415c016e_副本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" descr="b2082ee14ba495b917f50fa415c016e_副本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85290" cy="23901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C159F2B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</w:rPr>
                    <w:t>I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Описание продукции</w:t>
                  </w:r>
                </w:p>
                <w:p w14:paraId="1102959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1.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Данный распределительный шкаф предназначен для использования с LED-дисплеями, системами декоративного освещения, осветительными установками, на заводах, промышленных и горнодобывающих предприятиях и т. д. Предусмотрены различные способы управления: ручное управление, управление по времени (опционально), дистанционное управление (опционально), управление через облачный сервис с телефона (опционально), управление с помощью многофункциональной карты (опционально), управление через PLC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/>
                    </w:rPr>
                    <w:t>(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программируемый логистический контроллер -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опционально), управление по локальной сети (опционально), управление сухим контактом и др.</w:t>
                  </w:r>
                </w:p>
                <w:p w14:paraId="47234788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2.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Для распределительного шкафа требуется входное подключение по трёхфазной пятипроводной системе. То есть необходимо подключить отдельные нейтральный и защитный заземляющий провода (A, B, C, N, PE). Выходное напряжение шкафа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переменное напряжение 220 В. Каждая линия представляет собой трёхжильный кабель (L, N, PE). Выходные линии должны быть равномерно распределены и подключены к оборудованию. При подключении распределительного шкафа к LED-дисплею также необходимо подключить нейтральный и заземляющий провода.</w:t>
                  </w:r>
                </w:p>
                <w:p w14:paraId="671C14F5">
                  <w:pPr>
                    <w:keepNext w:val="0"/>
                    <w:keepLines w:val="0"/>
                    <w:widowControl/>
                    <w:numPr>
                      <w:ilvl w:val="0"/>
                      <w:numId w:val="0"/>
                    </w:numPr>
                    <w:suppressLineNumbers w:val="0"/>
                    <w:spacing w:before="0" w:beforeAutospacing="1" w:after="0" w:afterAutospacing="1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pacing w:val="-9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hint="default" w:ascii="Times New Roman Regular" w:hAnsi="Times New Roman Regular" w:cs="Times New Roman Regular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ru-RU"/>
                    </w:rPr>
                    <w:t xml:space="preserve">3. 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может реализовывать различные комбинации режимов электропитания, такие как многоступенчатая подача питания с задержкой и независимое питание по отдельным линиям.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 xml:space="preserve">Распределительный шкаф поддерживает различные режимы управления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(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ручной и автоматический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>)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объединённые в одной системе. Предусмотрена функция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запуска и остановки одним нажатием кнопки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возможность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каскадного подключения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 нескольких шкафов.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Шкаф оснащён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индикаторами трёхфазного питания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что позволяет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контролировать рабочее состояние оборудования в режиме реального времени</w:t>
                  </w:r>
                  <w:r>
                    <w:rPr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 Также предусмотрены различные функции защиты: </w:t>
                  </w:r>
                  <w:r>
                    <w:rPr>
                      <w:rStyle w:val="8"/>
                      <w:rFonts w:hint="default" w:ascii="Times New Roman Regular" w:hAnsi="Times New Roman Regular" w:eastAsia="SimSun" w:cs="Times New Roman Regular"/>
                      <w:b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от короткого замыкания, сверхтока, перегрузки и т. д.</w:t>
                  </w:r>
                </w:p>
                <w:p w14:paraId="036A7191">
                  <w:pPr>
                    <w:keepNext w:val="0"/>
                    <w:keepLines w:val="0"/>
                    <w:widowControl/>
                    <w:numPr>
                      <w:ilvl w:val="0"/>
                      <w:numId w:val="1"/>
                    </w:numPr>
                    <w:suppressLineNumbers w:val="0"/>
                    <w:jc w:val="both"/>
                    <w:rPr>
                      <w:rFonts w:hint="default" w:ascii="Times New Roman Regular" w:hAnsi="Times New Roman Regular" w:cs="Times New Roman Regular"/>
                      <w:b w:val="0"/>
                      <w:sz w:val="20"/>
                      <w:szCs w:val="20"/>
                    </w:rPr>
                  </w:pPr>
                  <w:r>
                    <w:rPr>
                      <w:rFonts w:hint="default" w:ascii="Times New Roman Regular" w:hAnsi="Times New Roman Regular" w:eastAsia="-webkit-standard" w:cs="Times New Roman Regular"/>
                      <w:b w:val="0"/>
                      <w:i w:val="0"/>
                      <w:iCs w:val="0"/>
                      <w:caps w:val="0"/>
                      <w:snapToGrid w:val="0"/>
                      <w:color w:val="000000"/>
                      <w:spacing w:val="0"/>
                      <w:kern w:val="0"/>
                      <w:sz w:val="20"/>
                      <w:szCs w:val="20"/>
                      <w:u w:val="none"/>
                      <w:lang w:val="en-US" w:eastAsia="zh-CN" w:bidi="ar"/>
                    </w:rPr>
                    <w:t>Распределительный шкаф должен эксплуатироваться квалифицированным персоналом. Во время грозы, сильного дождя, тайфуна и других неблагоприятных погодных условий распределительный шкаф не следует использовать. Если в работе распределительного шкафа обнаружены какие-либо неисправности или отклонения, повторно включать его можно только после того, как специалист устранит проблему.</w:t>
                  </w:r>
                </w:p>
                <w:p w14:paraId="3A925114">
                  <w:pPr>
                    <w:pStyle w:val="7"/>
                    <w:keepNext w:val="0"/>
                    <w:keepLines w:val="0"/>
                    <w:widowControl/>
                    <w:suppressLineNumbers w:val="0"/>
                    <w:spacing w:before="0" w:beforeAutospacing="1" w:after="0" w:afterAutospacing="1"/>
                    <w:ind w:left="0" w:right="0" w:firstLine="0"/>
                    <w:jc w:val="both"/>
                    <w:rPr>
                      <w:rFonts w:hint="default" w:ascii="Times New Roman Regular" w:hAnsi="Times New Roman Regular" w:cs="Times New Roman Regular"/>
                      <w:sz w:val="20"/>
                      <w:szCs w:val="20"/>
                      <w:lang w:eastAsia="zh-CN"/>
                    </w:rPr>
                  </w:pP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5.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/>
                      <w:bCs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Распределительный шкаф не следует использовать во влажной, запылённой или коррозионно-агрессивной среде. В месте установки распределительного шкафа не должно быть значительного количества токопроводящей пыли, а также коррозионных, легковоспламеняющихся и взрывоопасных веществ, способных негативно воздействовать на металл и изоляцию.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  <w:lang w:val="en-US" w:eastAsia="zh-CN"/>
                    </w:rPr>
                    <w:t xml:space="preserve"> 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Конструкция изделия соответствует требованиям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сертификации CQC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, а также стандартам </w:t>
                  </w:r>
                  <w:r>
                    <w:rPr>
                      <w:rStyle w:val="8"/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IEC 60439-2, GB 7251.1, GB 7251.3, GB 7251.8 и IEC 60439-1</w:t>
                  </w:r>
                  <w:r>
                    <w:rPr>
                      <w:rFonts w:hint="default" w:ascii="Times New Roman Regular" w:hAnsi="Times New Roman Regular" w:cs="Times New Roman Regular"/>
                      <w:b w:val="0"/>
                      <w:bCs w:val="0"/>
                      <w:i w:val="0"/>
                      <w:iCs w:val="0"/>
                      <w:caps w:val="0"/>
                      <w:color w:val="000000"/>
                      <w:spacing w:val="0"/>
                      <w:sz w:val="20"/>
                      <w:szCs w:val="20"/>
                    </w:rPr>
                    <w:t>.</w:t>
                  </w:r>
                </w:p>
                <w:p w14:paraId="7DDF896D">
                  <w:pPr>
                    <w:pStyle w:val="4"/>
                    <w:spacing w:before="174" w:line="238" w:lineRule="exact"/>
                    <w:ind w:left="198"/>
                    <w:rPr>
                      <w:sz w:val="23"/>
                      <w:szCs w:val="23"/>
                      <w:lang w:eastAsia="zh-CN"/>
                    </w:rPr>
                  </w:pPr>
                </w:p>
              </w:txbxContent>
            </v:textbox>
          </v:shape>
        </w:pict>
      </w:r>
    </w:p>
    <w:p w14:paraId="69C0EF74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E38C353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C422838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4180A80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4AAA6B7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614E045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3F0C2887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B28B34B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788F4D5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A0B0085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0147BA8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A6EFDB2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12CBB3D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ACBC629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58440C1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1BB538A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3C80E76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CC3475D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1F37669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00C178D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852EB2A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34971399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1EABAB3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115CB9D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FB3D90C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903C615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33EE22A3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B4BEBF3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A177EBA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690068F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5735E93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1C05D32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3F06362F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3119E98E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6F624C45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E1070C2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3B2BF643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9434983">
      <w:pPr>
        <w:spacing w:line="242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C88C648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E5BDBA2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0BCDFBC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ADD436E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1048894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16A6005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E64C7B7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B6995DA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E85F157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24E8D040">
      <w:pPr>
        <w:spacing w:line="243" w:lineRule="auto"/>
        <w:rPr>
          <w:rFonts w:hint="default" w:ascii="Times New Roman Regular" w:hAnsi="Times New Roman Regular" w:cs="Times New Roman Regular"/>
          <w:sz w:val="20"/>
          <w:szCs w:val="2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9" w:h="16834"/>
          <w:pgMar w:top="0" w:right="0" w:bottom="0" w:left="0" w:header="0" w:footer="0" w:gutter="0"/>
          <w:cols w:space="720" w:num="1"/>
        </w:sectPr>
      </w:pPr>
    </w:p>
    <w:p w14:paraId="2A72391A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bookmarkStart w:id="1" w:name="_Hlk148375891"/>
    </w:p>
    <w:p w14:paraId="3E334D50">
      <w:pPr>
        <w:pStyle w:val="7"/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Предупреждение: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FF0000"/>
          <w:spacing w:val="0"/>
          <w:sz w:val="20"/>
          <w:szCs w:val="20"/>
        </w:rPr>
        <w:t> 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из-за особенностей принципа работы LED-дисплея ток в нулевом проводе LED-дисплея может быть выше тока в фазном проводе, что создаёт серьёзную угрозу безопасности.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 xml:space="preserve">Основная причина повышенного тока в нулевом проводе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-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третья гармоника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 Третья гармоника возникает из-за импульсных источников питания. При преобразовании переменного напряжения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220 В в постоянное 5 В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возникают гармони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>ки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в основном третья гармоника.</w:t>
      </w:r>
      <w:bookmarkStart w:id="3" w:name="_GoBack"/>
      <w:bookmarkEnd w:id="3"/>
    </w:p>
    <w:p w14:paraId="6B16380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Кроме того, LED-дисплей постоянно воспроизводит динамическое изображение, поэтому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неравномерная нагрузка между тремя фазами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также может приводить к возникновению тока в нулевом проводе.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  <w:lang w:val="ru-RU"/>
        </w:rPr>
        <w:t xml:space="preserve"> 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Как правило, ток в нулевом проводе LED-дисплея составляет примерно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в 2 раза больше тока в одном фазном проводе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405AEBF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Например, для LED-дисплея мощностью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200 кВт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 при полной нагрузке ток в фазном проводе составляет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300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а ток в нулевом проводе может достигать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600 А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25397FBC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</w:pP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Если для фаз используется соответствующий требованиям национального стандарта КНР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4×120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, то для нулевого провода необходимо использовать медный кабель 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4×240 мм² + 1</w:t>
      </w:r>
      <w:r>
        <w:rPr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FF0000"/>
          <w:spacing w:val="0"/>
          <w:sz w:val="20"/>
          <w:szCs w:val="20"/>
          <w:u w:val="none"/>
        </w:rPr>
        <w:t>.</w:t>
      </w:r>
    </w:p>
    <w:p w14:paraId="157FEA06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i w:val="0"/>
          <w:iCs w:val="0"/>
          <w:caps w:val="0"/>
          <w:color w:val="FF0000"/>
          <w:spacing w:val="0"/>
          <w:sz w:val="20"/>
          <w:szCs w:val="20"/>
        </w:rPr>
      </w:pPr>
      <w:r>
        <w:rPr>
          <w:i w:val="0"/>
          <w:iCs w:val="0"/>
          <w:caps w:val="0"/>
          <w:color w:val="FF0000"/>
          <w:spacing w:val="0"/>
          <w:sz w:val="20"/>
          <w:szCs w:val="20"/>
        </w:rPr>
        <w:t>Для LED-дисплеев площадью более 100 м² проектировщику следует рекомендовать заказчику использовать устройство для устранения тока в нулевом проводе. Чем больше площадь LED-дисплея, тем больше внимания необходимо уделять этому вопросу.</w:t>
      </w:r>
    </w:p>
    <w:p w14:paraId="0645798F">
      <w:pPr>
        <w:spacing w:line="291" w:lineRule="auto"/>
        <w:rPr>
          <w:rFonts w:hint="default" w:ascii="Times New Roman Regular" w:hAnsi="Times New Roman Regular" w:cs="Times New Roman Regular"/>
          <w:color w:val="FF0000"/>
          <w:spacing w:val="-1"/>
          <w:position w:val="-1"/>
          <w:sz w:val="20"/>
          <w:szCs w:val="20"/>
          <w:lang w:val="en-US" w:eastAsia="zh-CN"/>
        </w:rPr>
      </w:pPr>
    </w:p>
    <w:bookmarkEnd w:id="1"/>
    <w:p w14:paraId="00C040FB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bookmarkStart w:id="2" w:name="_Hlk148375909"/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Способы решения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 xml:space="preserve"> </w:t>
      </w:r>
      <w:r>
        <w:rPr>
          <w:rFonts w:hint="default" w:ascii="Times New Roman Regular" w:hAnsi="Times New Roman Regular" w:eastAsia="-webkit-standard" w:cs="Times New Roman Regular"/>
          <w:b/>
          <w:bCs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проблемы с повышенным током в нулевом проводе: </w:t>
      </w:r>
    </w:p>
    <w:p w14:paraId="4B2BC21F"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У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величить сечение кабеля нулевого провода; </w:t>
      </w:r>
    </w:p>
    <w:p w14:paraId="311FAEEF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 xml:space="preserve">спользовать устройство для устранения тока в нулевом проводе; </w:t>
      </w:r>
    </w:p>
    <w:p w14:paraId="35AAED2E"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default" w:ascii="Times New Roman Regular" w:hAnsi="Times New Roman Regular" w:cs="Times New Roman Regular"/>
          <w:color w:val="FF0000"/>
          <w:sz w:val="20"/>
          <w:szCs w:val="20"/>
        </w:rPr>
      </w:pP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ru-RU" w:eastAsia="zh-CN" w:bidi="ar"/>
        </w:rPr>
        <w:t>И</w:t>
      </w:r>
      <w:r>
        <w:rPr>
          <w:rFonts w:hint="default" w:ascii="Times New Roman Regular" w:hAnsi="Times New Roman Regular" w:eastAsia="-webkit-standard" w:cs="Times New Roman Regular"/>
          <w:i w:val="0"/>
          <w:iCs w:val="0"/>
          <w:caps w:val="0"/>
          <w:snapToGrid w:val="0"/>
          <w:color w:val="FF0000"/>
          <w:spacing w:val="0"/>
          <w:kern w:val="0"/>
          <w:sz w:val="20"/>
          <w:szCs w:val="20"/>
          <w:u w:val="none"/>
          <w:lang w:val="en-US" w:eastAsia="zh-CN" w:bidi="ar"/>
        </w:rPr>
        <w:t>спользовать полностью изолированный распределительный шкаф постоянного тока с PFC.</w:t>
      </w:r>
    </w:p>
    <w:p w14:paraId="46651F0B">
      <w:pPr>
        <w:spacing w:before="104" w:line="223" w:lineRule="auto"/>
        <w:outlineLvl w:val="0"/>
        <w:rPr>
          <w:rFonts w:hint="default" w:ascii="Times New Roman Regular" w:hAnsi="Times New Roman Regular" w:eastAsia="SimHei" w:cs="Times New Roman Regular"/>
          <w:spacing w:val="-3"/>
          <w:sz w:val="20"/>
          <w:szCs w:val="20"/>
          <w:u w:val="single"/>
          <w:lang w:eastAsia="zh-CN"/>
        </w:rPr>
      </w:pPr>
    </w:p>
    <w:p w14:paraId="06640924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  <w:lang w:val="ru-RU" w:eastAsia="en-US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II. Технические параме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тры</w:t>
      </w:r>
    </w:p>
    <w:tbl>
      <w:tblPr>
        <w:tblStyle w:val="9"/>
        <w:tblpPr w:leftFromText="180" w:rightFromText="180" w:vertAnchor="text" w:horzAnchor="page" w:tblpX="995" w:tblpY="749"/>
        <w:tblOverlap w:val="never"/>
        <w:tblW w:w="9346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5"/>
        <w:gridCol w:w="360"/>
        <w:gridCol w:w="1746"/>
        <w:gridCol w:w="5855"/>
      </w:tblGrid>
      <w:tr w14:paraId="78A3546E">
        <w:trPr>
          <w:trHeight w:val="582" w:hRule="atLeast"/>
        </w:trPr>
        <w:tc>
          <w:tcPr>
            <w:tcW w:w="3491" w:type="dxa"/>
            <w:gridSpan w:val="3"/>
            <w:shd w:val="clear" w:color="auto" w:fill="F1F1F1"/>
          </w:tcPr>
          <w:p w14:paraId="3D64A8A8">
            <w:pPr>
              <w:pStyle w:val="10"/>
              <w:spacing w:before="187" w:line="240" w:lineRule="auto"/>
              <w:ind w:left="112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2"/>
                <w:sz w:val="20"/>
                <w:szCs w:val="20"/>
                <w:lang w:val="ru-RU"/>
              </w:rPr>
              <w:t>Модель</w:t>
            </w:r>
          </w:p>
        </w:tc>
        <w:tc>
          <w:tcPr>
            <w:tcW w:w="5855" w:type="dxa"/>
          </w:tcPr>
          <w:p w14:paraId="4091202F">
            <w:pPr>
              <w:pStyle w:val="10"/>
              <w:spacing w:before="201" w:line="240" w:lineRule="auto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2"/>
                <w:sz w:val="20"/>
                <w:szCs w:val="20"/>
                <w:lang w:val="en-US" w:eastAsia="zh-CN"/>
              </w:rPr>
              <w:t>HX66-12</w:t>
            </w:r>
          </w:p>
        </w:tc>
      </w:tr>
      <w:tr w14:paraId="7ADE83E9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4DF417CA">
            <w:pPr>
              <w:pStyle w:val="10"/>
              <w:spacing w:before="175" w:line="240" w:lineRule="auto"/>
              <w:ind w:left="111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Способ установки</w:t>
            </w:r>
          </w:p>
        </w:tc>
        <w:tc>
          <w:tcPr>
            <w:tcW w:w="5855" w:type="dxa"/>
          </w:tcPr>
          <w:p w14:paraId="056772BB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Настенный, встраиваемый</w:t>
            </w:r>
          </w:p>
        </w:tc>
      </w:tr>
      <w:tr w14:paraId="65BB2873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66AC7DB2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1CD31D05">
            <w:pPr>
              <w:pStyle w:val="10"/>
              <w:spacing w:before="103" w:line="240" w:lineRule="auto"/>
              <w:ind w:left="111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Способ управления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5F3AD159">
            <w:pPr>
              <w:pStyle w:val="10"/>
              <w:spacing w:before="179"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/>
              </w:rPr>
              <w:t>Ручное управление</w:t>
            </w:r>
          </w:p>
        </w:tc>
        <w:tc>
          <w:tcPr>
            <w:tcW w:w="5855" w:type="dxa"/>
          </w:tcPr>
          <w:p w14:paraId="2C5D961F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Ручное и автоматическое управление</w:t>
            </w:r>
          </w:p>
          <w:p w14:paraId="22260A75">
            <w:pPr>
              <w:pStyle w:val="10"/>
              <w:spacing w:before="177" w:line="240" w:lineRule="auto"/>
              <w:ind w:left="109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val="ru-RU" w:eastAsia="zh-CN"/>
              </w:rPr>
            </w:pPr>
          </w:p>
        </w:tc>
      </w:tr>
      <w:tr w14:paraId="11F0A07C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30DAB7EB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02FBA1B6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Автоматическое управление (опционально)</w:t>
            </w:r>
          </w:p>
        </w:tc>
        <w:tc>
          <w:tcPr>
            <w:tcW w:w="5855" w:type="dxa"/>
          </w:tcPr>
          <w:p w14:paraId="075C2C4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-webkit-standard" w:cs="Times New Roman Regular"/>
                <w:b w:val="0"/>
                <w:bCs w:val="0"/>
                <w:i w:val="0"/>
                <w:iCs w:val="0"/>
                <w:caps w:val="0"/>
                <w:snapToGrid w:val="0"/>
                <w:color w:val="000000"/>
                <w:spacing w:val="0"/>
                <w:kern w:val="0"/>
                <w:sz w:val="20"/>
                <w:szCs w:val="20"/>
                <w:u w:val="none"/>
                <w:lang w:val="en-US" w:eastAsia="zh-CN" w:bidi="ar"/>
              </w:rPr>
              <w:t>Управление по времени, дистанционное управление, управление через облачный сервис с телефона, управление с помощью многофункциональной карты, управление сухим контактом, управление с компьютера через PLC, управление с центрального планшета, управление по локальной сети или через Интернет и т. д.</w:t>
            </w:r>
          </w:p>
        </w:tc>
      </w:tr>
      <w:tr w14:paraId="6ECDBC72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7348AA56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4EFDA263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41F74AEC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7994AD8C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1BCB9326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6774CA0C">
            <w:pPr>
              <w:pStyle w:val="10"/>
              <w:spacing w:before="177" w:line="240" w:lineRule="auto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val="ru-RU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Трехфазная пятипроводная система</w:t>
            </w:r>
          </w:p>
        </w:tc>
      </w:tr>
      <w:tr w14:paraId="36D89C49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09B7ED58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451541C3">
            <w:pPr>
              <w:pStyle w:val="10"/>
              <w:spacing w:before="180" w:line="240" w:lineRule="auto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val="ru-RU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 w:eastAsia="zh-CN"/>
              </w:rPr>
              <w:t>Входное напряжение, частота</w:t>
            </w:r>
          </w:p>
        </w:tc>
        <w:tc>
          <w:tcPr>
            <w:tcW w:w="5855" w:type="dxa"/>
          </w:tcPr>
          <w:p w14:paraId="08958DF7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Трёхфазное напряжение 380 В, 50/60 Гц</w:t>
            </w:r>
          </w:p>
        </w:tc>
      </w:tr>
      <w:tr w14:paraId="7E74588F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52CF9028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15A11907">
            <w:pPr>
              <w:pStyle w:val="10"/>
              <w:spacing w:before="180"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ru-RU"/>
              </w:rPr>
              <w:t>Номинальная мощность</w:t>
            </w:r>
          </w:p>
        </w:tc>
        <w:tc>
          <w:tcPr>
            <w:tcW w:w="5855" w:type="dxa"/>
          </w:tcPr>
          <w:p w14:paraId="699D9EE6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48 кВт</w:t>
            </w:r>
          </w:p>
          <w:p w14:paraId="55BCEAA9">
            <w:pPr>
              <w:spacing w:before="154" w:line="240" w:lineRule="auto"/>
              <w:ind w:left="111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</w:tr>
      <w:tr w14:paraId="2852519B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4E55A19D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51CF8CE5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Входной кабель</w:t>
            </w:r>
          </w:p>
        </w:tc>
        <w:tc>
          <w:tcPr>
            <w:tcW w:w="5855" w:type="dxa"/>
          </w:tcPr>
          <w:p w14:paraId="29EA68E0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YJV — 4×25 мм² + 16 мм²</w:t>
            </w:r>
          </w:p>
        </w:tc>
      </w:tr>
      <w:tr w14:paraId="75A2CEAA">
        <w:trPr>
          <w:trHeight w:val="577" w:hRule="atLeast"/>
        </w:trPr>
        <w:tc>
          <w:tcPr>
            <w:tcW w:w="1385" w:type="dxa"/>
            <w:vMerge w:val="restart"/>
            <w:tcBorders>
              <w:bottom w:val="nil"/>
            </w:tcBorders>
            <w:shd w:val="clear" w:color="auto" w:fill="F1F1F1"/>
          </w:tcPr>
          <w:p w14:paraId="2C224BDC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4464D141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3D66FAAD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3969AC49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6F789687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  <w:p w14:paraId="740EA7CE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подключение</w:t>
            </w:r>
          </w:p>
        </w:tc>
        <w:tc>
          <w:tcPr>
            <w:tcW w:w="2106" w:type="dxa"/>
            <w:gridSpan w:val="2"/>
            <w:shd w:val="clear" w:color="auto" w:fill="F1F1F1"/>
          </w:tcPr>
          <w:p w14:paraId="401F2CB3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Способ подключения</w:t>
            </w:r>
          </w:p>
        </w:tc>
        <w:tc>
          <w:tcPr>
            <w:tcW w:w="5855" w:type="dxa"/>
          </w:tcPr>
          <w:p w14:paraId="7039BE21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Однофазная двухпроводная система + заземление</w:t>
            </w:r>
          </w:p>
        </w:tc>
      </w:tr>
      <w:tr w14:paraId="30FD81D9">
        <w:trPr>
          <w:trHeight w:val="575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269D9415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eastAsia="zh-CN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4D0D842D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Выходное напряжение</w:t>
            </w:r>
          </w:p>
        </w:tc>
        <w:tc>
          <w:tcPr>
            <w:tcW w:w="5855" w:type="dxa"/>
          </w:tcPr>
          <w:p w14:paraId="23873F54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Переменное напряжение 220 В</w:t>
            </w:r>
          </w:p>
        </w:tc>
      </w:tr>
      <w:tr w14:paraId="760B9986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3607588E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67CFF6E4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Мощность одной линии</w:t>
            </w:r>
          </w:p>
        </w:tc>
        <w:tc>
          <w:tcPr>
            <w:tcW w:w="5855" w:type="dxa"/>
          </w:tcPr>
          <w:p w14:paraId="5B5A0019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SimSun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Макс. 5,5 кВт (рекомендуемая фактическая нагрузка ≤ 4 кВт)</w:t>
            </w:r>
          </w:p>
        </w:tc>
      </w:tr>
      <w:tr w14:paraId="279535C0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  <w:bottom w:val="nil"/>
            </w:tcBorders>
          </w:tcPr>
          <w:p w14:paraId="4F10D7F9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2B9B6E2E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Количество выходных линий</w:t>
            </w:r>
          </w:p>
        </w:tc>
        <w:tc>
          <w:tcPr>
            <w:tcW w:w="5855" w:type="dxa"/>
          </w:tcPr>
          <w:p w14:paraId="74BC2E20">
            <w:pPr>
              <w:spacing w:before="153" w:line="240" w:lineRule="auto"/>
              <w:ind w:left="139"/>
              <w:jc w:val="both"/>
              <w:rPr>
                <w:rFonts w:hint="default" w:ascii="Times New Roman Regular" w:hAnsi="Times New Roman Regular" w:eastAsia="SimSun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eastAsia="SimSun" w:cs="Times New Roman Regular"/>
                <w:b w:val="0"/>
                <w:bCs w:val="0"/>
                <w:spacing w:val="-9"/>
                <w:sz w:val="20"/>
                <w:szCs w:val="20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12</w:t>
            </w:r>
          </w:p>
        </w:tc>
      </w:tr>
      <w:tr w14:paraId="558AE916">
        <w:trPr>
          <w:trHeight w:val="577" w:hRule="atLeast"/>
        </w:trPr>
        <w:tc>
          <w:tcPr>
            <w:tcW w:w="1385" w:type="dxa"/>
            <w:vMerge w:val="continue"/>
            <w:tcBorders>
              <w:top w:val="nil"/>
            </w:tcBorders>
          </w:tcPr>
          <w:p w14:paraId="725C1ABF">
            <w:pPr>
              <w:spacing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106" w:type="dxa"/>
            <w:gridSpan w:val="2"/>
            <w:shd w:val="clear" w:color="auto" w:fill="F1F1F1"/>
          </w:tcPr>
          <w:p w14:paraId="3800967A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Выходной кабель</w:t>
            </w:r>
          </w:p>
        </w:tc>
        <w:tc>
          <w:tcPr>
            <w:tcW w:w="5855" w:type="dxa"/>
          </w:tcPr>
          <w:p w14:paraId="186AC576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RVV — 3×2,5 мм²</w:t>
            </w:r>
          </w:p>
        </w:tc>
      </w:tr>
      <w:tr w14:paraId="651C9818">
        <w:trPr>
          <w:trHeight w:val="575" w:hRule="atLeast"/>
        </w:trPr>
        <w:tc>
          <w:tcPr>
            <w:tcW w:w="1745" w:type="dxa"/>
            <w:gridSpan w:val="2"/>
            <w:shd w:val="clear" w:color="auto" w:fill="F1F1F1"/>
          </w:tcPr>
          <w:p w14:paraId="55232580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pacing w:val="-1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Условия эксплуатации</w:t>
            </w:r>
          </w:p>
        </w:tc>
        <w:tc>
          <w:tcPr>
            <w:tcW w:w="1746" w:type="dxa"/>
            <w:shd w:val="clear" w:color="auto" w:fill="F1F1F1"/>
          </w:tcPr>
          <w:p w14:paraId="754E4FC9">
            <w:pPr>
              <w:pStyle w:val="10"/>
              <w:spacing w:before="180" w:line="240" w:lineRule="auto"/>
              <w:ind w:left="111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val="ru-RU" w:eastAsia="zh-CN"/>
              </w:rPr>
              <w:t>Температура</w:t>
            </w:r>
          </w:p>
        </w:tc>
        <w:tc>
          <w:tcPr>
            <w:tcW w:w="5855" w:type="dxa"/>
          </w:tcPr>
          <w:p w14:paraId="3E6F412C">
            <w:pPr>
              <w:pStyle w:val="10"/>
              <w:spacing w:before="199" w:line="240" w:lineRule="auto"/>
              <w:ind w:left="117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pacing w:val="-3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pacing w:val="-3"/>
                <w:sz w:val="20"/>
                <w:szCs w:val="20"/>
                <w:lang w:val="en-US" w:eastAsia="zh-CN"/>
              </w:rPr>
              <w:t>-20℃-60℃</w:t>
            </w:r>
          </w:p>
        </w:tc>
      </w:tr>
      <w:tr w14:paraId="12DE6F1F">
        <w:trPr>
          <w:trHeight w:val="575" w:hRule="atLeast"/>
        </w:trPr>
        <w:tc>
          <w:tcPr>
            <w:tcW w:w="3491" w:type="dxa"/>
            <w:gridSpan w:val="3"/>
            <w:shd w:val="clear" w:color="auto" w:fill="F1F1F1"/>
          </w:tcPr>
          <w:p w14:paraId="4403A882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Габариты шкафа</w:t>
            </w:r>
          </w:p>
        </w:tc>
        <w:tc>
          <w:tcPr>
            <w:tcW w:w="5855" w:type="dxa"/>
          </w:tcPr>
          <w:p w14:paraId="48DC4CA9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lang w:val="ru-RU"/>
              </w:rPr>
              <w:t>В</w:t>
            </w: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ысота 60 см × ширина 50 см × глубина 18 см</w:t>
            </w:r>
          </w:p>
        </w:tc>
      </w:tr>
      <w:tr w14:paraId="3B7E9C4C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102B3D57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Материал корпуса</w:t>
            </w:r>
          </w:p>
        </w:tc>
        <w:tc>
          <w:tcPr>
            <w:tcW w:w="5855" w:type="dxa"/>
          </w:tcPr>
          <w:p w14:paraId="39193A43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Холоднокатаная сталь</w:t>
            </w:r>
          </w:p>
        </w:tc>
      </w:tr>
      <w:tr w14:paraId="2724ED9E">
        <w:trPr>
          <w:trHeight w:val="749" w:hRule="atLeast"/>
        </w:trPr>
        <w:tc>
          <w:tcPr>
            <w:tcW w:w="3491" w:type="dxa"/>
            <w:gridSpan w:val="3"/>
            <w:shd w:val="clear" w:color="auto" w:fill="F1F1F1"/>
          </w:tcPr>
          <w:p w14:paraId="372D51F7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Бренды комплектующих</w:t>
            </w:r>
          </w:p>
        </w:tc>
        <w:tc>
          <w:tcPr>
            <w:tcW w:w="5855" w:type="dxa"/>
          </w:tcPr>
          <w:p w14:paraId="0BAE1865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Высококлассная серия 6 компании Delixi (опционально: Chint, Schneider, Siemens, ABB и другие бренды)</w:t>
            </w:r>
          </w:p>
        </w:tc>
      </w:tr>
      <w:tr w14:paraId="2003C59D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38FD6EC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Степень защиты</w:t>
            </w:r>
          </w:p>
        </w:tc>
        <w:tc>
          <w:tcPr>
            <w:tcW w:w="5855" w:type="dxa"/>
          </w:tcPr>
          <w:p w14:paraId="74B2BA88">
            <w:pPr>
              <w:pStyle w:val="10"/>
              <w:spacing w:before="179"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eastAsia="zh-CN"/>
              </w:rPr>
              <w:t>IP</w:t>
            </w:r>
            <w:r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  <w:lang w:val="en-US" w:eastAsia="zh-CN"/>
              </w:rPr>
              <w:t>43</w:t>
            </w:r>
          </w:p>
        </w:tc>
      </w:tr>
      <w:tr w14:paraId="2D557736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62854CC3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Стандарты соответствия</w:t>
            </w:r>
          </w:p>
        </w:tc>
        <w:tc>
          <w:tcPr>
            <w:tcW w:w="5855" w:type="dxa"/>
          </w:tcPr>
          <w:p w14:paraId="55879DE3">
            <w:pPr>
              <w:spacing w:before="157" w:line="240" w:lineRule="auto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pacing w:val="-3"/>
                <w:sz w:val="20"/>
                <w:szCs w:val="20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GB/T7251.12-2013</w:t>
            </w:r>
          </w:p>
        </w:tc>
      </w:tr>
      <w:tr w14:paraId="15929E23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7A5A2461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Microsoft YaHei" w:cs="Times New Roman Regular"/>
                <w:b w:val="0"/>
                <w:bCs w:val="0"/>
                <w:spacing w:val="-1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об упаковке</w:t>
            </w:r>
          </w:p>
        </w:tc>
        <w:tc>
          <w:tcPr>
            <w:tcW w:w="5855" w:type="dxa"/>
          </w:tcPr>
          <w:p w14:paraId="69B8B722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SimSun" w:cs="Times New Roman Regular"/>
                <w:b w:val="0"/>
                <w:bCs w:val="0"/>
                <w:spacing w:val="-3"/>
                <w:sz w:val="20"/>
                <w:szCs w:val="20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Картонная коробка</w:t>
            </w:r>
          </w:p>
        </w:tc>
      </w:tr>
      <w:tr w14:paraId="4999F75B">
        <w:trPr>
          <w:trHeight w:val="577" w:hRule="atLeast"/>
        </w:trPr>
        <w:tc>
          <w:tcPr>
            <w:tcW w:w="3491" w:type="dxa"/>
            <w:gridSpan w:val="3"/>
            <w:shd w:val="clear" w:color="auto" w:fill="F1F1F1"/>
          </w:tcPr>
          <w:p w14:paraId="4BC8D62D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cs="Times New Roman Regular"/>
                <w:b w:val="0"/>
                <w:bCs w:val="0"/>
                <w:spacing w:val="-1"/>
                <w:sz w:val="20"/>
                <w:szCs w:val="20"/>
                <w:lang w:eastAsia="zh-CN"/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Информация о сертификации</w:t>
            </w:r>
          </w:p>
        </w:tc>
        <w:tc>
          <w:tcPr>
            <w:tcW w:w="5855" w:type="dxa"/>
          </w:tcPr>
          <w:p w14:paraId="26A4787F">
            <w:pPr>
              <w:pStyle w:val="7"/>
              <w:keepNext w:val="0"/>
              <w:keepLines w:val="0"/>
              <w:widowControl/>
              <w:suppressLineNumbers w:val="0"/>
              <w:spacing w:line="240" w:lineRule="auto"/>
              <w:ind w:left="0" w:firstLine="0"/>
              <w:jc w:val="both"/>
              <w:rPr>
                <w:rFonts w:hint="default" w:ascii="Times New Roman Regular" w:hAnsi="Times New Roman Regular" w:eastAsia="SimSun" w:cs="Times New Roman Regular"/>
                <w:b w:val="0"/>
                <w:bCs w:val="0"/>
                <w:spacing w:val="-3"/>
                <w:sz w:val="20"/>
                <w:szCs w:val="20"/>
                <w:lang w:val="en-US" w:eastAsia="zh-CN"/>
                <w14:textOutline w14:w="4356" w14:cap="flat" w14:cmpd="sng" w14:algn="ctr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</w:pPr>
            <w:r>
              <w:rPr>
                <w:rStyle w:val="8"/>
                <w:rFonts w:hint="default" w:ascii="Times New Roman Regular" w:hAnsi="Times New Roman Regular" w:cs="Times New Roman Regular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0"/>
                <w:szCs w:val="20"/>
              </w:rPr>
              <w:t>CQC, CE, FCC, RoHS, патентные свидетельства и свидетельства об авторских правах на программное обеспечение</w:t>
            </w:r>
          </w:p>
        </w:tc>
      </w:tr>
      <w:bookmarkEnd w:id="2"/>
    </w:tbl>
    <w:p w14:paraId="7B17F9A2">
      <w:pPr>
        <w:rPr>
          <w:rFonts w:hint="default" w:ascii="Times New Roman Regular" w:hAnsi="Times New Roman Regular" w:cs="Times New Roman Regular"/>
          <w:sz w:val="20"/>
          <w:szCs w:val="20"/>
        </w:rPr>
        <w:sectPr>
          <w:headerReference r:id="rId11" w:type="first"/>
          <w:headerReference r:id="rId9" w:type="default"/>
          <w:headerReference r:id="rId10" w:type="even"/>
          <w:pgSz w:w="11909" w:h="16834"/>
          <w:pgMar w:top="1440" w:right="1080" w:bottom="1440" w:left="1080" w:header="0" w:footer="0" w:gutter="0"/>
          <w:cols w:space="720" w:num="1"/>
        </w:sectPr>
      </w:pPr>
    </w:p>
    <w:p w14:paraId="78842737">
      <w:pPr>
        <w:spacing w:before="104" w:line="223" w:lineRule="auto"/>
        <w:outlineLvl w:val="0"/>
        <w:rPr>
          <w:rFonts w:hint="default" w:ascii="Times New Roman Regular" w:hAnsi="Times New Roman Regular" w:eastAsia="SimHei" w:cs="Times New Roman Regular"/>
          <w:sz w:val="20"/>
          <w:szCs w:val="20"/>
          <w:u w:val="single"/>
          <w:lang w:eastAsia="zh-CN"/>
        </w:rPr>
      </w:pPr>
    </w:p>
    <w:p w14:paraId="5A170E78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III. Эксплуатационные характеристики продукции</w:t>
      </w:r>
    </w:p>
    <w:p w14:paraId="185763E2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 Основные функции:</w:t>
      </w:r>
    </w:p>
    <w:p w14:paraId="456E69B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(1) Комплектующие серии 6 высокого класса Delixi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(2) Трёхфазная защита от превышения тока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(3) Индикаторы состояния трёхфазного питания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(4) Индикатор рабочего состояния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(5) Розетка для технического обслуживания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(6) Дистанционное управление одной кнопкой через сухой контакт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(7) Каскадное управление через сухой контакт</w:t>
      </w:r>
    </w:p>
    <w:p w14:paraId="0762549B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2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управления по времени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автоматическое включение и выключение по расписанию.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3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 xml:space="preserve"> 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Функция дистанционного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 дистанционное управление на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ограниченном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 расстоянии.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4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мобильное облачное приложение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управление с телефона без ограничения по расстоянию.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5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Многофункциональная карта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Nova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Star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, Colorlight, Linsn, Kystar, ZHONGHANG, Mo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>S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ier и др.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6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Функция PLC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на компьютер устанавливается специальное программное обеспечение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en-US"/>
        </w:rPr>
        <w:t xml:space="preserve">. 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Л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юбой компьютер в локальной сети может управлять любым распределительным шкафом. Возможна централизованная работа с несколькими шкафами. Интерфейс управления может отображать такие параметры внутри LED-экрана, как температура, влажность, наличие дыма и т. д.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br w:type="textWrapping"/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7</w:t>
      </w: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. Управление через центральную систему управления (опционально):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позволяет управлять одним или несколькими распределительными шкафами через центральную систему управления.</w:t>
      </w:r>
    </w:p>
    <w:p w14:paraId="2E4BED7E">
      <w:pPr>
        <w:spacing w:before="4"/>
        <w:rPr>
          <w:rFonts w:hint="default" w:ascii="Times New Roman Regular" w:hAnsi="Times New Roman Regular" w:eastAsia="SimSun" w:cs="Times New Roman Regular"/>
          <w:sz w:val="20"/>
          <w:szCs w:val="20"/>
          <w:lang w:eastAsia="zh-CN"/>
        </w:rPr>
      </w:pPr>
    </w:p>
    <w:p w14:paraId="0DBE6CFE">
      <w:pPr>
        <w:pStyle w:val="7"/>
        <w:keepNext w:val="0"/>
        <w:keepLines w:val="0"/>
        <w:widowControl/>
        <w:suppressLineNumbers w:val="0"/>
        <w:ind w:left="0" w:firstLine="0"/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Bold" w:hAnsi="Times New Roman Bold" w:cs="Times New Roman Bold"/>
          <w:b/>
          <w:bCs/>
          <w:i w:val="0"/>
          <w:iCs w:val="0"/>
          <w:caps w:val="0"/>
          <w:color w:val="000000"/>
          <w:spacing w:val="0"/>
          <w:sz w:val="20"/>
          <w:szCs w:val="20"/>
        </w:rPr>
        <w:t>IV. Защита и безопасность</w:t>
      </w:r>
    </w:p>
    <w:p w14:paraId="2010B419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короткого замыкания</w:t>
      </w:r>
    </w:p>
    <w:p w14:paraId="60C4BA6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перегрузки</w:t>
      </w:r>
    </w:p>
    <w:p w14:paraId="1137359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перенапряжений, вызванных грозовыми разрядами (опционально)</w:t>
      </w:r>
    </w:p>
    <w:p w14:paraId="5AC69E7C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утечки тока (опционально)</w:t>
      </w:r>
    </w:p>
    <w:p w14:paraId="4B07298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пониженного и повышенного напряжения (опционально)</w:t>
      </w:r>
    </w:p>
    <w:p w14:paraId="185A415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от обрыва фазы (опционально)</w:t>
      </w:r>
    </w:p>
    <w:p w14:paraId="5F27C74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высокой температуре (опционально)</w:t>
      </w:r>
    </w:p>
    <w:p w14:paraId="4F74B6A1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Отключение питания при срабатывании датчика дыма (опционально)</w:t>
      </w:r>
    </w:p>
    <w:p w14:paraId="7F5D2F6D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b w:val="0"/>
          <w:bCs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открытии двери (опционально)</w:t>
      </w:r>
    </w:p>
    <w:p w14:paraId="23CD60F0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Сигнализация при обнаружении пламени (опционально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  <w:lang w:val="ru-RU"/>
        </w:rPr>
        <w:t>)</w:t>
      </w:r>
    </w:p>
    <w:p w14:paraId="295AB9B3">
      <w:pPr>
        <w:pStyle w:val="7"/>
        <w:keepNext w:val="0"/>
        <w:keepLines w:val="0"/>
        <w:widowControl/>
        <w:numPr>
          <w:ilvl w:val="0"/>
          <w:numId w:val="3"/>
        </w:numPr>
        <w:suppressLineNumbers w:val="0"/>
        <w:ind w:left="425" w:leftChars="0" w:right="0" w:rightChars="0" w:hanging="425" w:firstLineChars="0"/>
        <w:rPr>
          <w:rFonts w:hint="default" w:ascii="Times New Roman Regular" w:hAnsi="Times New Roman Regular" w:cs="Times New Roman Regular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Защита нулевого кабеля от перегрева (опционально)</w:t>
      </w:r>
    </w:p>
    <w:p w14:paraId="71803FFA">
      <w:pPr>
        <w:pStyle w:val="7"/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right="0" w:rightChars="0"/>
        <w:jc w:val="left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EDB0D6A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V. Управление электропотреблением (опционально)</w:t>
      </w:r>
    </w:p>
    <w:p w14:paraId="62F221C0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1.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Дистанционное управление, мониторинг в режиме реального времени, предварительное предупреждение и аварийная сигнализация, анализ энергопотребления.</w:t>
      </w:r>
    </w:p>
    <w:p w14:paraId="6E1529B9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2.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Мониторинг в режиме реального времени параметров электропотребления каждой линии (например: ток, напряжение, ток утечки, мощность, температура и т. д.).</w:t>
      </w:r>
    </w:p>
    <w:p w14:paraId="6B92BB2A">
      <w:pPr>
        <w:pStyle w:val="7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 xml:space="preserve">3. </w:t>
      </w:r>
      <w:r>
        <w:rPr>
          <w:rStyle w:val="8"/>
          <w:rFonts w:hint="default" w:ascii="Times New Roman Regular" w:hAnsi="Times New Roman Regular" w:cs="Times New Roman Regular"/>
          <w:b w:val="0"/>
          <w:bCs w:val="0"/>
          <w:i w:val="0"/>
          <w:iCs w:val="0"/>
          <w:caps w:val="0"/>
          <w:color w:val="000000"/>
          <w:spacing w:val="0"/>
          <w:sz w:val="20"/>
          <w:szCs w:val="20"/>
        </w:rPr>
        <w:t>Ограничение мощности:</w:t>
      </w:r>
      <w:r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 в пределах допустимой мощности можно свободно задавать номинальную мощность каждой линии электропотребления. Через платформу можно гибко устанавливать пороговые значения для предупреждений и аварийной сигнализации, а также корректировать значения защиты линий уже после установки. Это позволяет предотвращать неправильное использование мощных электроприборов и снижать риски, связанные с электропотреблением.</w:t>
      </w:r>
    </w:p>
    <w:p w14:paraId="3E783EFE">
      <w:pPr>
        <w:spacing w:before="4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23D5ECB">
      <w:pPr>
        <w:spacing w:before="4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189DBC18">
      <w:pPr>
        <w:spacing w:before="4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754476FC">
      <w:pPr>
        <w:spacing w:before="4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40F1F08E">
      <w:pPr>
        <w:spacing w:before="4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0EFED625">
      <w:pPr>
        <w:spacing w:before="4"/>
        <w:rPr>
          <w:rFonts w:hint="default" w:ascii="Times New Roman Regular" w:hAnsi="Times New Roman Regular" w:cs="Times New Roman Regular"/>
          <w:sz w:val="20"/>
          <w:szCs w:val="20"/>
        </w:rPr>
      </w:pPr>
    </w:p>
    <w:p w14:paraId="5E45B885">
      <w:pPr>
        <w:pStyle w:val="7"/>
        <w:keepNext w:val="0"/>
        <w:keepLines w:val="0"/>
        <w:widowControl/>
        <w:suppressLineNumbers w:val="0"/>
        <w:ind w:left="0" w:firstLine="0"/>
        <w:rPr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</w:pPr>
      <w:r>
        <w:rPr>
          <w:rStyle w:val="8"/>
          <w:rFonts w:hint="default" w:ascii="Times New Roman Regular" w:hAnsi="Times New Roman Regular" w:cs="Times New Roman Regular"/>
          <w:i w:val="0"/>
          <w:iCs w:val="0"/>
          <w:caps w:val="0"/>
          <w:color w:val="000000"/>
          <w:spacing w:val="0"/>
          <w:sz w:val="20"/>
          <w:szCs w:val="20"/>
        </w:rPr>
        <w:t>VI. Информация об установке</w:t>
      </w:r>
    </w:p>
    <w:p w14:paraId="7C6A128B">
      <w:pPr>
        <w:spacing w:line="221" w:lineRule="auto"/>
        <w:jc w:val="center"/>
      </w:pPr>
    </w:p>
    <w:p w14:paraId="0C338340">
      <w:pPr>
        <w:spacing w:line="221" w:lineRule="auto"/>
        <w:jc w:val="center"/>
      </w:pPr>
    </w:p>
    <w:p w14:paraId="57B3FB43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  <w:r>
        <w:drawing>
          <wp:inline distT="0" distB="0" distL="114300" distR="114300">
            <wp:extent cx="5724525" cy="3120390"/>
            <wp:effectExtent l="0" t="0" r="15875" b="381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312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345D2">
      <w:pPr>
        <w:bidi w:val="0"/>
        <w:rPr>
          <w:lang w:val="en-US" w:eastAsia="en-US"/>
        </w:rPr>
      </w:pPr>
    </w:p>
    <w:p w14:paraId="1038C11B">
      <w:pPr>
        <w:tabs>
          <w:tab w:val="left" w:pos="240"/>
        </w:tabs>
        <w:bidi w:val="0"/>
        <w:jc w:val="center"/>
      </w:pPr>
    </w:p>
    <w:p w14:paraId="0A74A81F">
      <w:pPr>
        <w:tabs>
          <w:tab w:val="left" w:pos="240"/>
        </w:tabs>
        <w:bidi w:val="0"/>
        <w:jc w:val="left"/>
        <w:rPr>
          <w:rFonts w:hint="default"/>
          <w:lang w:val="ru-RU"/>
        </w:rPr>
      </w:pPr>
    </w:p>
    <w:p w14:paraId="34588573">
      <w:pPr>
        <w:tabs>
          <w:tab w:val="left" w:pos="240"/>
        </w:tabs>
        <w:bidi w:val="0"/>
        <w:jc w:val="center"/>
        <w:rPr>
          <w:rFonts w:hint="eastAsia"/>
          <w:lang w:val="en-US" w:eastAsia="zh-CN"/>
        </w:rPr>
        <w:sectPr>
          <w:headerReference r:id="rId14" w:type="first"/>
          <w:headerReference r:id="rId12" w:type="default"/>
          <w:headerReference r:id="rId13" w:type="even"/>
          <w:pgSz w:w="11909" w:h="16834"/>
          <w:pgMar w:top="720" w:right="720" w:bottom="720" w:left="720" w:header="0" w:footer="0" w:gutter="0"/>
          <w:cols w:space="720" w:num="1"/>
        </w:sectPr>
      </w:pPr>
      <w:r>
        <w:drawing>
          <wp:inline distT="0" distB="0" distL="114300" distR="114300">
            <wp:extent cx="5352415" cy="3619500"/>
            <wp:effectExtent l="0" t="0" r="6985" b="1270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52415" cy="361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14:paraId="614121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1" w:line="20" w:lineRule="exact"/>
        <w:textAlignment w:val="baseline"/>
        <w:outlineLvl w:val="0"/>
        <w:rPr>
          <w:rFonts w:ascii="SimHei" w:hAnsi="SimHei" w:eastAsia="SimHei" w:cs="SimHei"/>
          <w:sz w:val="27"/>
          <w:szCs w:val="27"/>
        </w:rPr>
      </w:pPr>
    </w:p>
    <w:p w14:paraId="66005196">
      <w:pPr>
        <w:bidi w:val="0"/>
        <w:rPr>
          <w:rFonts w:ascii="Arial" w:hAnsi="Arial" w:eastAsia="Arial" w:cs="Arial"/>
          <w:snapToGrid w:val="0"/>
          <w:color w:val="000000"/>
          <w:sz w:val="21"/>
          <w:szCs w:val="21"/>
          <w:lang w:val="en-US" w:eastAsia="en-US" w:bidi="ar-SA"/>
        </w:rPr>
      </w:pPr>
    </w:p>
    <w:p w14:paraId="036FB7CF">
      <w:pPr>
        <w:bidi w:val="0"/>
        <w:rPr>
          <w:lang w:val="en-US" w:eastAsia="en-US"/>
        </w:rPr>
      </w:pPr>
    </w:p>
    <w:p w14:paraId="3CCDE333">
      <w:pPr>
        <w:bidi w:val="0"/>
        <w:rPr>
          <w:rFonts w:hint="eastAsia" w:eastAsia="SimSun"/>
          <w:lang w:val="en-US" w:eastAsia="zh-CN"/>
        </w:rPr>
      </w:pPr>
    </w:p>
    <w:p w14:paraId="35E179F1">
      <w:pPr>
        <w:pStyle w:val="7"/>
        <w:keepNext w:val="0"/>
        <w:keepLines w:val="0"/>
        <w:widowControl/>
        <w:suppressLineNumbers w:val="0"/>
        <w:ind w:left="0" w:firstLine="0"/>
        <w:rPr>
          <w:rFonts w:hint="eastAsia" w:ascii="SimHei" w:hAnsi="SimHei" w:eastAsia="SimHei" w:cs="SimHei"/>
          <w:b/>
          <w:bCs/>
          <w:sz w:val="32"/>
          <w:szCs w:val="32"/>
          <w:u w:val="single"/>
          <w:lang w:eastAsia="zh-CN"/>
        </w:rPr>
      </w:pPr>
      <w:r>
        <w:rPr>
          <w:rFonts w:hint="eastAsia" w:ascii="SimHei" w:hAnsi="SimHei" w:eastAsia="SimHei" w:cs="SimHei"/>
          <w:b/>
          <w:bCs/>
          <w:sz w:val="32"/>
          <w:szCs w:val="32"/>
          <w:u w:val="none"/>
          <w:lang w:val="en-US" w:eastAsia="zh-CN"/>
        </w:rPr>
        <w:t xml:space="preserve">  </w:t>
      </w:r>
      <w:r>
        <w:rPr>
          <w:rStyle w:val="8"/>
          <w:i w:val="0"/>
          <w:iCs w:val="0"/>
          <w:caps w:val="0"/>
          <w:color w:val="000000"/>
          <w:spacing w:val="0"/>
        </w:rPr>
        <w:t>VII. Принципиальная схема</w:t>
      </w:r>
    </w:p>
    <w:p w14:paraId="5108401F">
      <w:pPr>
        <w:bidi w:val="0"/>
        <w:rPr>
          <w:lang w:val="en-US" w:eastAsia="en-US"/>
        </w:rPr>
      </w:pPr>
    </w:p>
    <w:p w14:paraId="0AF945D2">
      <w:pPr>
        <w:bidi w:val="0"/>
        <w:rPr>
          <w:lang w:val="en-US" w:eastAsia="en-US"/>
        </w:rPr>
      </w:pPr>
    </w:p>
    <w:p w14:paraId="50B6FF89">
      <w:pPr>
        <w:tabs>
          <w:tab w:val="left" w:pos="765"/>
        </w:tabs>
        <w:bidi w:val="0"/>
        <w:jc w:val="left"/>
      </w:pPr>
      <w:r>
        <w:rPr>
          <w:rFonts w:hint="eastAsia" w:eastAsia="SimSun"/>
          <w:lang w:val="en-US" w:eastAsia="zh-CN"/>
        </w:rPr>
        <w:tab/>
      </w:r>
      <w:r>
        <w:drawing>
          <wp:inline distT="0" distB="0" distL="114300" distR="114300">
            <wp:extent cx="6845300" cy="3644265"/>
            <wp:effectExtent l="0" t="0" r="12700" b="1333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45300" cy="364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F5A63">
      <w:pPr>
        <w:tabs>
          <w:tab w:val="left" w:pos="765"/>
        </w:tabs>
        <w:bidi w:val="0"/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3400425" cy="4243705"/>
            <wp:effectExtent l="0" t="0" r="952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17" w:type="first"/>
      <w:headerReference r:id="rId15" w:type="default"/>
      <w:headerReference r:id="rId16" w:type="even"/>
      <w:pgSz w:w="11909" w:h="16834"/>
      <w:pgMar w:top="400" w:right="28" w:bottom="0" w:left="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-webkit-standar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C13CFF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5EAEB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398F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38B872">
    <w:pPr>
      <w:pStyle w:val="6"/>
    </w:pPr>
    <w:r>
      <w:rPr>
        <w:snapToGrid/>
      </w:rPr>
      <w:pict>
        <v:shape id="WordPictureWatermark44021252" o:spid="_x0000_s1081" o:spt="75" type="#_x0000_t75" style="position:absolute;left:0pt;height:841.15pt;width:595.4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A3D03">
    <w:pPr>
      <w:pStyle w:val="6"/>
    </w:pPr>
    <w:r>
      <w:rPr>
        <w:snapToGrid/>
      </w:rPr>
      <w:pict>
        <v:shape id="WordPictureWatermark44021251" o:spid="_x0000_s1080" o:spt="75" type="#_x0000_t75" style="position:absolute;left:0pt;height:841.15pt;width:595.4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CD958">
    <w:pPr>
      <w:pStyle w:val="6"/>
    </w:pPr>
    <w:r>
      <w:rPr>
        <w:snapToGrid/>
      </w:rPr>
      <w:pict>
        <v:shape id="WordPictureWatermark44021250" o:spid="_x0000_s1079" o:spt="75" type="#_x0000_t75" style="position:absolute;left:0pt;height:841.15pt;width:595.4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F92FBF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1" o:spid="_x0000_s1090" o:spt="75" type="#_x0000_t75" style="position:absolute;left:0pt;height:841.15pt;width:595.4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30E6C">
    <w:pPr>
      <w:pStyle w:val="6"/>
    </w:pPr>
    <w:r>
      <w:rPr>
        <w:snapToGrid/>
      </w:rPr>
      <w:pict>
        <v:shape id="WordPictureWatermark44021260" o:spid="_x0000_s1089" o:spt="75" type="#_x0000_t75" style="position:absolute;left:0pt;height:841.15pt;width:595.4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F2CD9">
    <w:pPr>
      <w:pStyle w:val="6"/>
    </w:pPr>
    <w:r>
      <w:rPr>
        <w:snapToGrid/>
      </w:rPr>
      <w:pict>
        <v:shape id="WordPictureWatermark44021259" o:spid="_x0000_s1088" o:spt="75" type="#_x0000_t75" style="position:absolute;left:0pt;height:841.15pt;width:595.4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91BEED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4" o:spid="_x0000_s1093" o:spt="75" type="#_x0000_t75" style="position:absolute;left:0pt;height:841.15pt;width:595.4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BBE93">
    <w:pPr>
      <w:pStyle w:val="6"/>
    </w:pPr>
    <w:r>
      <w:rPr>
        <w:snapToGrid/>
      </w:rPr>
      <w:pict>
        <v:shape id="WordPictureWatermark44021263" o:spid="_x0000_s1092" o:spt="75" type="#_x0000_t75" style="position:absolute;left:0pt;height:841.15pt;width:595.4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A2FC7">
    <w:pPr>
      <w:pStyle w:val="6"/>
    </w:pPr>
    <w:r>
      <w:rPr>
        <w:snapToGrid/>
      </w:rPr>
      <w:pict>
        <v:shape id="WordPictureWatermark44021262" o:spid="_x0000_s1091" o:spt="75" type="#_x0000_t75" style="position:absolute;left:0pt;height:841.15pt;width:595.4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BE2F4">
    <w:pPr>
      <w:spacing w:line="14" w:lineRule="auto"/>
      <w:rPr>
        <w:sz w:val="2"/>
      </w:rPr>
    </w:pPr>
    <w:r>
      <w:rPr>
        <w:snapToGrid/>
        <w:sz w:val="2"/>
      </w:rPr>
      <w:pict>
        <v:shape id="WordPictureWatermark44021267" o:spid="_x0000_s1096" o:spt="75" type="#_x0000_t75" style="position:absolute;left:0pt;height:841.15pt;width:595.4pt;mso-position-horizontal:center;mso-position-horizontal-relative:margin;mso-position-vertical:center;mso-position-vertical-relative:margin;z-index:-25164492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C6573">
    <w:pPr>
      <w:pStyle w:val="6"/>
    </w:pPr>
    <w:r>
      <w:rPr>
        <w:snapToGrid/>
      </w:rPr>
      <w:pict>
        <v:shape id="WordPictureWatermark44021266" o:spid="_x0000_s1095" o:spt="75" type="#_x0000_t75" style="position:absolute;left:0pt;height:841.15pt;width:595.4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2E45A">
    <w:pPr>
      <w:pStyle w:val="6"/>
    </w:pPr>
    <w:r>
      <w:rPr>
        <w:snapToGrid/>
      </w:rPr>
      <w:pict>
        <v:shape id="WordPictureWatermark44021265" o:spid="_x0000_s1094" o:spt="75" type="#_x0000_t75" style="position:absolute;left:0pt;height:841.15pt;width:595.4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0000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B74764"/>
    <w:multiLevelType w:val="singleLevel"/>
    <w:tmpl w:val="AEB7476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BEDC019A"/>
    <w:multiLevelType w:val="singleLevel"/>
    <w:tmpl w:val="BEDC019A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2">
    <w:nsid w:val="6D5F444A"/>
    <w:multiLevelType w:val="singleLevel"/>
    <w:tmpl w:val="6D5F444A"/>
    <w:lvl w:ilvl="0" w:tentative="0">
      <w:start w:val="4"/>
      <w:numFmt w:val="decimal"/>
      <w:suff w:val="space"/>
      <w:lvlText w:val="%1."/>
      <w:lvlJc w:val="left"/>
      <w:rPr>
        <w:rFonts w:hint="default" w:ascii="Times New Roman Bold" w:hAnsi="Times New Roman Bold" w:cs="Times New Roman Bold"/>
        <w:b/>
        <w:bCs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doNotDisplayPageBoundaries w:val="1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1"/>
    </o:shapelayout>
  </w:hdrShapeDefaults>
  <w:compat>
    <w:spaceForUL/>
    <w:ulTrailSpace/>
    <w:doNotExpandShiftReturn/>
    <w:doNotWrapTextWithPunct/>
    <w:doNotUseEastAsianBreakRules/>
    <w:compatSetting w:name="compatibilityMode" w:uri="http://schemas.microsoft.com/office/word" w:val="14"/>
  </w:compat>
  <w:docVars>
    <w:docVar w:name="commondata" w:val="eyJoZGlkIjoiYzE4NmI2MGMxMGNmZjRjOWQyMTM1M2M0Y2RjNzU0ZjMifQ=="/>
  </w:docVars>
  <w:rsids>
    <w:rsidRoot w:val="001A190A"/>
    <w:rsid w:val="00080079"/>
    <w:rsid w:val="001A190A"/>
    <w:rsid w:val="002A12F7"/>
    <w:rsid w:val="00615495"/>
    <w:rsid w:val="00897A23"/>
    <w:rsid w:val="009C3199"/>
    <w:rsid w:val="00D7030B"/>
    <w:rsid w:val="045370A8"/>
    <w:rsid w:val="08720631"/>
    <w:rsid w:val="0AD41BFE"/>
    <w:rsid w:val="0E691BAA"/>
    <w:rsid w:val="0EF93527"/>
    <w:rsid w:val="151E7799"/>
    <w:rsid w:val="194C6611"/>
    <w:rsid w:val="2AF3260E"/>
    <w:rsid w:val="2CB77F57"/>
    <w:rsid w:val="327B76FB"/>
    <w:rsid w:val="3BF18B19"/>
    <w:rsid w:val="3F57057C"/>
    <w:rsid w:val="3FA6602D"/>
    <w:rsid w:val="3FBD5BA3"/>
    <w:rsid w:val="42DC2E3E"/>
    <w:rsid w:val="492137B7"/>
    <w:rsid w:val="4A267B38"/>
    <w:rsid w:val="4C33695C"/>
    <w:rsid w:val="77D3ED2A"/>
    <w:rsid w:val="7BFF0A0E"/>
    <w:rsid w:val="7EF21055"/>
    <w:rsid w:val="C7FFB5CD"/>
    <w:rsid w:val="EDCB50D9"/>
    <w:rsid w:val="EF765FC9"/>
    <w:rsid w:val="F15FF873"/>
    <w:rsid w:val="FEFC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2"/>
    <w:qFormat/>
    <w:uiPriority w:val="0"/>
    <w:rPr>
      <w:b/>
      <w:bCs/>
    </w:rPr>
  </w:style>
  <w:style w:type="table" w:customStyle="1" w:styleId="9">
    <w:name w:val="Table Normal1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Microsoft YaHei" w:hAnsi="Microsoft YaHei" w:eastAsia="Microsoft YaHei" w:cs="Microsoft YaHei"/>
      <w:sz w:val="24"/>
      <w:szCs w:val="24"/>
    </w:rPr>
  </w:style>
  <w:style w:type="character" w:customStyle="1" w:styleId="11">
    <w:name w:val="页眉 字符"/>
    <w:basedOn w:val="2"/>
    <w:link w:val="6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2"/>
    <w:link w:val="5"/>
    <w:qFormat/>
    <w:uiPriority w:val="0"/>
    <w:rPr>
      <w:rFonts w:eastAsia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2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7.png"/><Relationship Id="rId23" Type="http://schemas.openxmlformats.org/officeDocument/2006/relationships/image" Target="media/image6.png"/><Relationship Id="rId22" Type="http://schemas.openxmlformats.org/officeDocument/2006/relationships/image" Target="media/image5.png"/><Relationship Id="rId21" Type="http://schemas.openxmlformats.org/officeDocument/2006/relationships/image" Target="media/image4.png"/><Relationship Id="rId20" Type="http://schemas.openxmlformats.org/officeDocument/2006/relationships/image" Target="media/image3.png"/><Relationship Id="rId2" Type="http://schemas.openxmlformats.org/officeDocument/2006/relationships/settings" Target="settings.xml"/><Relationship Id="rId19" Type="http://schemas.openxmlformats.org/officeDocument/2006/relationships/image" Target="media/image2.jpeg"/><Relationship Id="rId18" Type="http://schemas.openxmlformats.org/officeDocument/2006/relationships/theme" Target="theme/theme1.xml"/><Relationship Id="rId17" Type="http://schemas.openxmlformats.org/officeDocument/2006/relationships/header" Target="header12.xml"/><Relationship Id="rId16" Type="http://schemas.openxmlformats.org/officeDocument/2006/relationships/header" Target="header1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81"/>
    <customShpInfo spid="_x0000_s1080"/>
    <customShpInfo spid="_x0000_s1079"/>
    <customShpInfo spid="_x0000_s1090"/>
    <customShpInfo spid="_x0000_s1089"/>
    <customShpInfo spid="_x0000_s1088"/>
    <customShpInfo spid="_x0000_s1093"/>
    <customShpInfo spid="_x0000_s1092"/>
    <customShpInfo spid="_x0000_s1091"/>
    <customShpInfo spid="_x0000_s1096"/>
    <customShpInfo spid="_x0000_s1095"/>
    <customShpInfo spid="_x0000_s1094"/>
    <customShpInfo spid="_x0000_s2050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14A6FC5-9C29-4B45-B8C1-E117F923BE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1075</Words>
  <Characters>1207</Characters>
  <Lines>8</Lines>
  <Paragraphs>2</Paragraphs>
  <TotalTime>13</TotalTime>
  <ScaleCrop>false</ScaleCrop>
  <LinksUpToDate>false</LinksUpToDate>
  <CharactersWithSpaces>1222</CharactersWithSpaces>
  <Application>WPS Office_12.1.26015.26015_F1E327BC-269C-435d-A152-05C5408002CA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2022-05-08T06:45:00Z</dcterms:created>
  <dc:creator>陈年</dc:creator>
  <cp:lastModifiedBy>Yulia Glazetskaya</cp:lastModifiedBy>
  <dcterms:modified xsi:type="dcterms:W3CDTF">2026-09-18T17:09:45Z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2023-10-15T10:44:24Z</vt:filetime>
  </property>
  <property fmtid="{D5CDD505-2E9C-101B-9397-08002B2CF9AE}" pid="4" name="KSOProductBuildVer">
    <vt:lpwstr>1033-12.1.26015.26015</vt:lpwstr>
  </property>
  <property fmtid="{D5CDD505-2E9C-101B-9397-08002B2CF9AE}" pid="5" name="ICV">
    <vt:lpwstr>4CEE1F78CF962670122FAD6A790043EB_43</vt:lpwstr>
  </property>
  <property fmtid="{D5CDD505-2E9C-101B-9397-08002B2CF9AE}" pid="6" name="KSOTemplateDocerSaveRecord">
    <vt:lpwstr>eyJoZGlkIjoiYzE4NmI2MGMxMGNmZjRjOWQyMTM1M2M0Y2RjNzU0ZjMiLCJ1c2VySWQiOiIyNTcxNjczNzgifQ==</vt:lpwstr>
  </property>
</Properties>
</file>