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1106E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1AC0CA">
      <w:pPr>
        <w:spacing w:line="242" w:lineRule="auto"/>
      </w:pPr>
    </w:p>
    <w:p w14:paraId="36BEC278">
      <w:pPr>
        <w:spacing w:line="242" w:lineRule="auto"/>
      </w:pPr>
    </w:p>
    <w:p w14:paraId="145C52D9">
      <w:pPr>
        <w:spacing w:line="242" w:lineRule="auto"/>
      </w:pPr>
    </w:p>
    <w:p w14:paraId="21535ED5">
      <w:pPr>
        <w:spacing w:line="242" w:lineRule="auto"/>
      </w:pPr>
    </w:p>
    <w:p w14:paraId="09FA5ECE">
      <w:pPr>
        <w:spacing w:line="242" w:lineRule="auto"/>
      </w:pPr>
    </w:p>
    <w:p w14:paraId="65501E79">
      <w:pPr>
        <w:spacing w:line="242" w:lineRule="auto"/>
      </w:pPr>
    </w:p>
    <w:p w14:paraId="7449E127">
      <w:pPr>
        <w:spacing w:line="242" w:lineRule="auto"/>
      </w:pPr>
    </w:p>
    <w:p w14:paraId="040B418F">
      <w:pPr>
        <w:spacing w:line="242" w:lineRule="auto"/>
      </w:pPr>
      <w:r>
        <w:pict>
          <v:shape id="_x0000_s2050" o:spid="_x0000_s2050" o:spt="202" type="#_x0000_t202" style="position:absolute;left:0pt;margin-left:28.85pt;margin-top:117.8pt;height:690.3pt;width:529.3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684246C">
                  <w:pPr>
                    <w:pStyle w:val="7"/>
                    <w:keepNext w:val="0"/>
                    <w:keepLines w:val="0"/>
                    <w:widowControl/>
                    <w:suppressLineNumbers w:val="0"/>
                    <w:ind w:left="0" w:firstLine="0"/>
                    <w:rPr>
                      <w:i w:val="0"/>
                      <w:iCs w:val="0"/>
                      <w:caps w:val="0"/>
                      <w:color w:val="000000"/>
                      <w:spacing w:val="0"/>
                    </w:rPr>
                  </w:pP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Интеллектуальный распределительный шкаф</w:t>
                  </w:r>
                  <w:r>
                    <w:rPr>
                      <w:i w:val="0"/>
                      <w:iCs w:val="0"/>
                      <w:caps w:val="0"/>
                      <w:color w:val="000000"/>
                      <w:spacing w:val="0"/>
                    </w:rPr>
                    <w:br w:type="textWrapping"/>
                  </w: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HX115-21</w:t>
                  </w:r>
                </w:p>
                <w:p w14:paraId="7552D36E">
                  <w:pPr>
                    <w:pStyle w:val="4"/>
                    <w:spacing w:before="131"/>
                    <w:jc w:val="center"/>
                    <w:rPr>
                      <w:sz w:val="30"/>
                      <w:szCs w:val="30"/>
                      <w:lang w:eastAsia="zh-CN"/>
                    </w:rPr>
                  </w:pP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                  </w:t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drawing>
                      <wp:inline distT="0" distB="0" distL="114300" distR="114300">
                        <wp:extent cx="1323975" cy="2251075"/>
                        <wp:effectExtent l="0" t="0" r="22225" b="9525"/>
                        <wp:docPr id="2" name="图片 2" descr="f45515e3626222ecf76fc832e9b2255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f45515e3626222ecf76fc832e9b2255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225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</w:t>
                  </w:r>
                </w:p>
                <w:p w14:paraId="0C159F2B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right="0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</w:rPr>
                    <w:t>I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 Описание продукции</w:t>
                  </w:r>
                </w:p>
                <w:p w14:paraId="1102959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1.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 xml:space="preserve">Данный распределительный шкаф предназначен для использования с LED-дисплеями, системами декоративного освещения, осветительными установками, на заводах, промышленных и горнодобывающих предприятиях и т. д. Предусмотрены различные способы управления: ручное управление, управление по времени (опционально), дистанционное управление (опционально), управление через облачный сервис с телефона (опционально), управление с помощью многофункциональной карты (опционально), управление через PLC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/>
                    </w:rPr>
                    <w:t>(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программируемый логистический контроллер -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опционально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опционально), управление по локальной сети (опционально), управление сухим контактом и др.</w:t>
                  </w:r>
                </w:p>
                <w:p w14:paraId="4723478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2.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Для распределительного шкафа требуется входное подключение по трёхфазной пятипроводной системе. То есть необходимо подключить отдельные нейтральный и защитный заземляющий провода (A, B, C, N, PE). Выходное напряжение шкафа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переменное напряжение 220 В. Каждая линия представляет собой трёхжильный кабель (L, N, PE). Выходные линии должны быть равномерно распределены и подключены к оборудованию. При подключении распределительного шкафа к LED-дисплею также необходимо подключить нейтральный и заземляющий провода.</w:t>
                  </w:r>
                </w:p>
                <w:p w14:paraId="671C14F5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pacing w:val="-9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3. 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Распределительный шкаф может реализовывать различные комбинации режимов электропитания, такие как многоступенчатая подача питания с задержкой и независимое питание по отдельным линиям.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 xml:space="preserve">Распределительный шкаф поддерживает различные режимы управления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>(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ручной и автоматический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>)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объединённые в одной системе. Предусмотрена функция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запуска и остановки одним нажатием кнопки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а также возможность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каскадного подключения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 нескольких шкафов.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Шкаф оснащён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индикаторами трёхфазного питания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что позволяет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контролировать рабочее состояние оборудования в режиме реального времени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 Также предусмотрены различные функции защиты: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от короткого замыкания, сверхтока, перегрузки и т. д.</w:t>
                  </w:r>
                </w:p>
                <w:p w14:paraId="036A7191"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Распределительный шкаф должен эксплуатироваться квалифицированным персоналом. Во время грозы, сильного дождя, тайфуна и других неблагоприятных погодных условий распределительный шкаф не следует использовать. Если в работе распределительного шкафа обнаружены какие-либо неисправности или отклонения, повторно включать его можно только после того, как специалист устранит проблему.</w:t>
                  </w:r>
                </w:p>
                <w:p w14:paraId="40A3679A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kinsoku w:val="0"/>
                    <w:autoSpaceDE w:val="0"/>
                    <w:autoSpaceDN w:val="0"/>
                    <w:adjustRightInd w:val="0"/>
                    <w:snapToGrid w:val="0"/>
                    <w:jc w:val="both"/>
                    <w:textAlignment w:val="baseline"/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</w:p>
                <w:p w14:paraId="3A925114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sz w:val="20"/>
                      <w:szCs w:val="20"/>
                      <w:lang w:eastAsia="zh-CN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5.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Распределительный шкаф не следует использовать во влажной, запылённой или коррозионно-агрессивной среде. В месте установки распределительного шкафа не должно быть значительного количества токопроводящей пыли, а также коррозионных, легковоспламеняющихся и взрывоопасных веществ, способных негативно воздействовать на металл и изоляцию.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Конструкция изделия соответствует требованиям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сертификации CQC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а также стандартам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IEC 60439-2, GB 7251.1, GB 7251.3, GB 7251.8 и IEC 60439-1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</w:t>
                  </w:r>
                </w:p>
                <w:p w14:paraId="6C17B242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kinsoku w:val="0"/>
                    <w:autoSpaceDE w:val="0"/>
                    <w:autoSpaceDN w:val="0"/>
                    <w:adjustRightInd w:val="0"/>
                    <w:snapToGrid w:val="0"/>
                    <w:jc w:val="both"/>
                    <w:textAlignment w:val="baseline"/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</w:p>
                <w:p w14:paraId="10E3E873">
                  <w:pPr>
                    <w:pStyle w:val="4"/>
                    <w:spacing w:before="97" w:line="183" w:lineRule="auto"/>
                    <w:rPr>
                      <w:rFonts w:hint="default"/>
                      <w:lang w:val="en-US" w:eastAsia="zh-CN"/>
                    </w:rPr>
                  </w:pPr>
                </w:p>
                <w:p w14:paraId="2931EC94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  <w:p w14:paraId="0D8D1B29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191FCC04">
      <w:pPr>
        <w:spacing w:line="242" w:lineRule="auto"/>
      </w:pPr>
    </w:p>
    <w:p w14:paraId="6EF80F2A">
      <w:pPr>
        <w:spacing w:line="242" w:lineRule="auto"/>
      </w:pPr>
    </w:p>
    <w:p w14:paraId="3E9FE741">
      <w:pPr>
        <w:spacing w:line="242" w:lineRule="auto"/>
      </w:pPr>
    </w:p>
    <w:p w14:paraId="0D642434">
      <w:pPr>
        <w:spacing w:line="242" w:lineRule="auto"/>
      </w:pPr>
    </w:p>
    <w:p w14:paraId="465C5B73">
      <w:pPr>
        <w:spacing w:line="242" w:lineRule="auto"/>
      </w:pPr>
    </w:p>
    <w:p w14:paraId="65AC15B2">
      <w:pPr>
        <w:spacing w:line="242" w:lineRule="auto"/>
      </w:pPr>
    </w:p>
    <w:p w14:paraId="0D50A9C5">
      <w:pPr>
        <w:spacing w:line="242" w:lineRule="auto"/>
      </w:pPr>
    </w:p>
    <w:p w14:paraId="19E69077">
      <w:pPr>
        <w:spacing w:line="242" w:lineRule="auto"/>
      </w:pPr>
    </w:p>
    <w:p w14:paraId="56DE313D">
      <w:pPr>
        <w:spacing w:line="242" w:lineRule="auto"/>
      </w:pPr>
    </w:p>
    <w:p w14:paraId="07C13354">
      <w:pPr>
        <w:spacing w:line="242" w:lineRule="auto"/>
      </w:pPr>
    </w:p>
    <w:p w14:paraId="7C9929D6">
      <w:pPr>
        <w:spacing w:line="242" w:lineRule="auto"/>
      </w:pPr>
    </w:p>
    <w:p w14:paraId="6EA4A172">
      <w:pPr>
        <w:spacing w:line="242" w:lineRule="auto"/>
      </w:pPr>
    </w:p>
    <w:p w14:paraId="79CA9E57">
      <w:pPr>
        <w:spacing w:line="242" w:lineRule="auto"/>
      </w:pPr>
    </w:p>
    <w:p w14:paraId="5E4F9275">
      <w:pPr>
        <w:spacing w:line="242" w:lineRule="auto"/>
      </w:pPr>
    </w:p>
    <w:p w14:paraId="4B2456FC">
      <w:pPr>
        <w:spacing w:line="242" w:lineRule="auto"/>
      </w:pPr>
    </w:p>
    <w:p w14:paraId="15452E99">
      <w:pPr>
        <w:spacing w:line="242" w:lineRule="auto"/>
      </w:pPr>
    </w:p>
    <w:p w14:paraId="7A13D032">
      <w:pPr>
        <w:spacing w:line="242" w:lineRule="auto"/>
      </w:pPr>
    </w:p>
    <w:p w14:paraId="51CED44F">
      <w:pPr>
        <w:spacing w:line="242" w:lineRule="auto"/>
      </w:pPr>
    </w:p>
    <w:p w14:paraId="387562E8">
      <w:pPr>
        <w:spacing w:line="242" w:lineRule="auto"/>
      </w:pPr>
    </w:p>
    <w:p w14:paraId="06811944">
      <w:pPr>
        <w:spacing w:line="242" w:lineRule="auto"/>
      </w:pPr>
    </w:p>
    <w:p w14:paraId="3AB5E2D2">
      <w:pPr>
        <w:spacing w:line="242" w:lineRule="auto"/>
      </w:pPr>
    </w:p>
    <w:p w14:paraId="2313627A">
      <w:pPr>
        <w:spacing w:line="242" w:lineRule="auto"/>
      </w:pPr>
    </w:p>
    <w:p w14:paraId="67D5916F">
      <w:pPr>
        <w:spacing w:line="242" w:lineRule="auto"/>
      </w:pPr>
    </w:p>
    <w:p w14:paraId="4AED6074">
      <w:pPr>
        <w:spacing w:line="242" w:lineRule="auto"/>
      </w:pPr>
    </w:p>
    <w:p w14:paraId="566A461B">
      <w:pPr>
        <w:spacing w:line="242" w:lineRule="auto"/>
      </w:pPr>
    </w:p>
    <w:p w14:paraId="4810A09C">
      <w:pPr>
        <w:spacing w:line="242" w:lineRule="auto"/>
      </w:pPr>
    </w:p>
    <w:p w14:paraId="573CDDE6">
      <w:pPr>
        <w:spacing w:line="242" w:lineRule="auto"/>
      </w:pPr>
    </w:p>
    <w:p w14:paraId="682939A2">
      <w:pPr>
        <w:spacing w:line="242" w:lineRule="auto"/>
      </w:pPr>
    </w:p>
    <w:p w14:paraId="6D5A8049">
      <w:pPr>
        <w:spacing w:line="242" w:lineRule="auto"/>
      </w:pPr>
    </w:p>
    <w:p w14:paraId="028F2CB4">
      <w:pPr>
        <w:spacing w:line="242" w:lineRule="auto"/>
      </w:pPr>
    </w:p>
    <w:p w14:paraId="25B698CE">
      <w:pPr>
        <w:spacing w:line="242" w:lineRule="auto"/>
      </w:pPr>
    </w:p>
    <w:p w14:paraId="7DBAEB92">
      <w:pPr>
        <w:spacing w:line="242" w:lineRule="auto"/>
      </w:pPr>
    </w:p>
    <w:p w14:paraId="538591EC">
      <w:pPr>
        <w:spacing w:line="242" w:lineRule="auto"/>
      </w:pPr>
    </w:p>
    <w:p w14:paraId="510E4460">
      <w:pPr>
        <w:spacing w:line="242" w:lineRule="auto"/>
      </w:pPr>
    </w:p>
    <w:p w14:paraId="44EA1783">
      <w:pPr>
        <w:spacing w:line="242" w:lineRule="auto"/>
      </w:pPr>
    </w:p>
    <w:p w14:paraId="6481C72C">
      <w:pPr>
        <w:spacing w:line="242" w:lineRule="auto"/>
      </w:pPr>
    </w:p>
    <w:p w14:paraId="08D16D00">
      <w:pPr>
        <w:spacing w:line="242" w:lineRule="auto"/>
      </w:pPr>
    </w:p>
    <w:p w14:paraId="3C62BAA0">
      <w:pPr>
        <w:spacing w:line="242" w:lineRule="auto"/>
      </w:pPr>
    </w:p>
    <w:p w14:paraId="0A4E7114">
      <w:pPr>
        <w:spacing w:line="242" w:lineRule="auto"/>
      </w:pPr>
    </w:p>
    <w:p w14:paraId="6A96AD47">
      <w:pPr>
        <w:spacing w:line="243" w:lineRule="auto"/>
      </w:pPr>
    </w:p>
    <w:p w14:paraId="78EB3861">
      <w:pPr>
        <w:spacing w:line="243" w:lineRule="auto"/>
      </w:pPr>
    </w:p>
    <w:p w14:paraId="705D2430">
      <w:pPr>
        <w:spacing w:line="243" w:lineRule="auto"/>
      </w:pPr>
    </w:p>
    <w:p w14:paraId="380AF1B4">
      <w:pPr>
        <w:spacing w:line="243" w:lineRule="auto"/>
      </w:pPr>
    </w:p>
    <w:p w14:paraId="053E277E">
      <w:pPr>
        <w:spacing w:line="243" w:lineRule="auto"/>
      </w:pPr>
    </w:p>
    <w:p w14:paraId="6D37214C">
      <w:pPr>
        <w:spacing w:line="243" w:lineRule="auto"/>
      </w:pPr>
    </w:p>
    <w:p w14:paraId="6F44D256">
      <w:pPr>
        <w:spacing w:line="243" w:lineRule="auto"/>
      </w:pPr>
    </w:p>
    <w:p w14:paraId="2F853D8E">
      <w:pPr>
        <w:spacing w:line="243" w:lineRule="auto"/>
      </w:pPr>
    </w:p>
    <w:p w14:paraId="50707F2C">
      <w:pPr>
        <w:spacing w:line="243" w:lineRule="auto"/>
      </w:pPr>
    </w:p>
    <w:p w14:paraId="1FCB2F18">
      <w:pPr>
        <w:spacing w:line="243" w:lineRule="auto"/>
      </w:pPr>
    </w:p>
    <w:p w14:paraId="0F3EFB3F">
      <w:pPr>
        <w:spacing w:line="243" w:lineRule="auto"/>
      </w:pPr>
    </w:p>
    <w:p w14:paraId="3E86972A">
      <w:pPr>
        <w:spacing w:line="243" w:lineRule="auto"/>
      </w:pPr>
    </w:p>
    <w:p w14:paraId="05EEAF77">
      <w:pPr>
        <w:spacing w:line="243" w:lineRule="auto"/>
      </w:pPr>
    </w:p>
    <w:p w14:paraId="58CAC6F7">
      <w:pPr>
        <w:spacing w:line="243" w:lineRule="auto"/>
      </w:pPr>
    </w:p>
    <w:p w14:paraId="648FFBDE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469F3FC9">
      <w:pPr>
        <w:spacing w:line="241" w:lineRule="auto"/>
        <w:rPr>
          <w:lang w:eastAsia="zh-CN"/>
        </w:rPr>
      </w:pPr>
    </w:p>
    <w:p w14:paraId="2DD7ED7E">
      <w:pPr>
        <w:spacing w:line="241" w:lineRule="auto"/>
        <w:rPr>
          <w:lang w:eastAsia="zh-CN"/>
        </w:rPr>
      </w:pPr>
    </w:p>
    <w:p w14:paraId="2CEDE491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bookmarkEnd w:id="1"/>
    <w:p w14:paraId="3E334D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bookmarkStart w:id="2" w:name="_Hlk148375909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0"/>
          <w:szCs w:val="20"/>
        </w:rPr>
        <w:t>Предупреждение: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0"/>
          <w:szCs w:val="20"/>
        </w:rPr>
        <w:t> 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из-за особенностей принципа работы LED-дисплея ток в нулевом проводе LED-дисплея может быть выше тока в фазном проводе, что создаёт серьёзную угрозу безопасности.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 xml:space="preserve">Основная причина повышенного тока в нулевом проводе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-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третья гармоника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 Третья гармоника возникает из-за импульсных источников питания. При преобразовании переменного напряжения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220 В в постоянное 5 В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возникают гармони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>ки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в основном третья гармоника.</w:t>
      </w:r>
    </w:p>
    <w:p w14:paraId="6B16380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Кроме того, LED-дисплей постоянно воспроизводит динамическое изображение, поэтому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неравномерная нагрузка между тремя фазами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 также может приводить к возникновению тока в нулевом проводе.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Как правило, ток в нулевом проводе LED-дисплея составляет примерно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в 2 раза больше тока в одном фазном проводе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405AEBF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Например, для LED-дисплея мощностью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200 кВт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 при полной нагрузке ток в фазном проводе составляет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300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а ток в нулевом проводе может достигать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600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25397FBC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Если для фаз используется соответствующий требованиям национального стандарта КНР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4×120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то для нулевого провода необходимо использовать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4×240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157FEA06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i w:val="0"/>
          <w:iCs w:val="0"/>
          <w:caps w:val="0"/>
          <w:color w:val="FF0000"/>
          <w:spacing w:val="0"/>
          <w:sz w:val="20"/>
          <w:szCs w:val="20"/>
        </w:rPr>
      </w:pPr>
      <w:r>
        <w:rPr>
          <w:i w:val="0"/>
          <w:iCs w:val="0"/>
          <w:caps w:val="0"/>
          <w:color w:val="FF0000"/>
          <w:spacing w:val="0"/>
          <w:sz w:val="20"/>
          <w:szCs w:val="20"/>
        </w:rPr>
        <w:t>Для LED-дисплеев площадью более 100 м² проектировщику следует рекомендовать заказчику использовать устройство для устранения тока в нулевом проводе. Чем больше площадь LED-дисплея, тем больше внимания необходимо уделять этому вопросу.</w:t>
      </w:r>
    </w:p>
    <w:p w14:paraId="0645798F">
      <w:pPr>
        <w:spacing w:line="291" w:lineRule="auto"/>
        <w:rPr>
          <w:rFonts w:hint="default" w:ascii="Times New Roman Regular" w:hAnsi="Times New Roman Regular" w:cs="Times New Roman Regular"/>
          <w:color w:val="FF0000"/>
          <w:spacing w:val="-1"/>
          <w:position w:val="-1"/>
          <w:sz w:val="20"/>
          <w:szCs w:val="20"/>
          <w:lang w:val="en-US" w:eastAsia="zh-CN"/>
        </w:rPr>
      </w:pPr>
    </w:p>
    <w:p w14:paraId="00C040FB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>Способы решения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проблемы с повышенным током в нулевом проводе: </w:t>
      </w:r>
    </w:p>
    <w:p w14:paraId="4B2BC21F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У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величить сечение кабеля нулевого провода; </w:t>
      </w:r>
    </w:p>
    <w:p w14:paraId="311FAEEF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спользовать устройство для устранения тока в нулевом проводе; </w:t>
      </w:r>
    </w:p>
    <w:p w14:paraId="35AAED2E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cs="Times New Roman Regular"/>
          <w:color w:val="FF0000"/>
          <w:sz w:val="20"/>
          <w:szCs w:val="20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>спользовать полностью изолированный распределительный шкаф постоянного тока с PFC.</w:t>
      </w:r>
    </w:p>
    <w:p w14:paraId="34B4EA13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</w:p>
    <w:p w14:paraId="10841EBA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eastAsia="SimHei"/>
          <w:lang w:val="en-US" w:eastAsia="zh-CN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II. Технические параме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тры</w:t>
      </w:r>
    </w:p>
    <w:tbl>
      <w:tblPr>
        <w:tblStyle w:val="9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3BBA9494"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430AA466">
            <w:pPr>
              <w:pStyle w:val="10"/>
              <w:spacing w:before="187" w:line="180" w:lineRule="auto"/>
              <w:ind w:left="112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2"/>
                <w:sz w:val="20"/>
                <w:szCs w:val="20"/>
                <w:lang w:val="ru-RU"/>
              </w:rPr>
              <w:t>Модель</w:t>
            </w:r>
          </w:p>
        </w:tc>
        <w:tc>
          <w:tcPr>
            <w:tcW w:w="5855" w:type="dxa"/>
          </w:tcPr>
          <w:p w14:paraId="5CB26153">
            <w:pPr>
              <w:pStyle w:val="10"/>
              <w:spacing w:before="201" w:line="172" w:lineRule="auto"/>
              <w:ind w:left="128"/>
              <w:rPr>
                <w:rFonts w:hint="default" w:eastAsia="Microsoft YaHei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HX115-21</w:t>
            </w:r>
          </w:p>
        </w:tc>
      </w:tr>
      <w:tr w14:paraId="74AE77F5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4E422EF1">
            <w:pPr>
              <w:pStyle w:val="10"/>
              <w:spacing w:before="175" w:line="184" w:lineRule="auto"/>
              <w:ind w:left="111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Способ установки</w:t>
            </w:r>
          </w:p>
        </w:tc>
        <w:tc>
          <w:tcPr>
            <w:tcW w:w="5855" w:type="dxa"/>
          </w:tcPr>
          <w:p w14:paraId="39ADB5D7">
            <w:pPr>
              <w:pStyle w:val="10"/>
              <w:spacing w:before="177" w:line="183" w:lineRule="auto"/>
              <w:ind w:firstLine="100" w:firstLineChars="50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Настенный, встраиваемый</w:t>
            </w:r>
          </w:p>
        </w:tc>
      </w:tr>
      <w:tr w14:paraId="522ADA6C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4AC82E1A">
            <w:pPr>
              <w:spacing w:line="364" w:lineRule="auto"/>
            </w:pPr>
          </w:p>
          <w:p w14:paraId="4719BA5F">
            <w:pPr>
              <w:pStyle w:val="10"/>
              <w:spacing w:before="103" w:line="183" w:lineRule="auto"/>
              <w:ind w:left="111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Способ управления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725009EE">
            <w:pPr>
              <w:pStyle w:val="10"/>
              <w:spacing w:before="179" w:line="183" w:lineRule="auto"/>
              <w:ind w:left="109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Ручное управление</w:t>
            </w:r>
          </w:p>
        </w:tc>
        <w:tc>
          <w:tcPr>
            <w:tcW w:w="5855" w:type="dxa"/>
          </w:tcPr>
          <w:p w14:paraId="3D450072">
            <w:pPr>
              <w:pStyle w:val="10"/>
              <w:spacing w:before="177" w:line="184" w:lineRule="auto"/>
              <w:ind w:left="109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Ручное и автоматическое управление</w:t>
            </w:r>
          </w:p>
        </w:tc>
      </w:tr>
      <w:tr w14:paraId="1DF70304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01ED80E7"/>
        </w:tc>
        <w:tc>
          <w:tcPr>
            <w:tcW w:w="2106" w:type="dxa"/>
            <w:gridSpan w:val="2"/>
            <w:shd w:val="clear" w:color="auto" w:fill="F1F1F1"/>
          </w:tcPr>
          <w:p w14:paraId="32F6D1FE">
            <w:pPr>
              <w:pStyle w:val="10"/>
              <w:spacing w:before="178" w:line="183" w:lineRule="auto"/>
              <w:ind w:left="116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Автоматическое управление (опционально)</w:t>
            </w:r>
          </w:p>
        </w:tc>
        <w:tc>
          <w:tcPr>
            <w:tcW w:w="5855" w:type="dxa"/>
          </w:tcPr>
          <w:p w14:paraId="2D6E85A8">
            <w:pPr>
              <w:pStyle w:val="10"/>
              <w:spacing w:before="179" w:line="182" w:lineRule="auto"/>
              <w:ind w:left="127"/>
              <w:rPr>
                <w:rFonts w:hint="default" w:eastAsia="Microsoft YaHei"/>
                <w:lang w:val="ru-RU" w:eastAsia="zh-CN"/>
              </w:rPr>
            </w:pP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Управление по времени, дистанционное управление, управление через облачный сервис с телефона, управление с помощью многофункциональной карты, управление сухим контактом, управление с компьютера через PLC, управление с центрального планшета, управление по локальной сети или через Интернет и т. д</w:t>
            </w: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0"/>
                <w:szCs w:val="20"/>
                <w:u w:val="none"/>
                <w:lang w:val="ru-RU" w:eastAsia="zh-CN" w:bidi="ar"/>
              </w:rPr>
              <w:t>.</w:t>
            </w:r>
          </w:p>
        </w:tc>
      </w:tr>
      <w:tr w14:paraId="1039E219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7C0AE9DD">
            <w:pPr>
              <w:spacing w:line="314" w:lineRule="auto"/>
            </w:pPr>
          </w:p>
          <w:p w14:paraId="78BDA523">
            <w:pPr>
              <w:spacing w:line="314" w:lineRule="auto"/>
            </w:pPr>
          </w:p>
          <w:p w14:paraId="1B127A9A">
            <w:pPr>
              <w:spacing w:line="314" w:lineRule="auto"/>
            </w:pPr>
          </w:p>
          <w:p w14:paraId="532B72B5">
            <w:pPr>
              <w:pStyle w:val="10"/>
              <w:spacing w:before="10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2C410848">
            <w:pPr>
              <w:pStyle w:val="10"/>
              <w:spacing w:before="178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35B61F07">
            <w:pPr>
              <w:pStyle w:val="10"/>
              <w:spacing w:before="177" w:line="184" w:lineRule="auto"/>
              <w:ind w:left="122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Трехфазная пятипроводная система</w:t>
            </w:r>
          </w:p>
        </w:tc>
      </w:tr>
      <w:tr w14:paraId="1E11158B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3E44A3E3"/>
        </w:tc>
        <w:tc>
          <w:tcPr>
            <w:tcW w:w="2106" w:type="dxa"/>
            <w:gridSpan w:val="2"/>
            <w:shd w:val="clear" w:color="auto" w:fill="F1F1F1"/>
          </w:tcPr>
          <w:p w14:paraId="19B889A7">
            <w:pPr>
              <w:pStyle w:val="10"/>
              <w:spacing w:before="180" w:line="182" w:lineRule="auto"/>
              <w:ind w:left="107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Входное напряжение, частота</w:t>
            </w:r>
          </w:p>
        </w:tc>
        <w:tc>
          <w:tcPr>
            <w:tcW w:w="5855" w:type="dxa"/>
          </w:tcPr>
          <w:p w14:paraId="42B66708">
            <w:pPr>
              <w:pStyle w:val="10"/>
              <w:spacing w:before="182" w:line="181" w:lineRule="auto"/>
              <w:ind w:left="122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Трёхфазное напряжение 380 В, 50/60 Гц</w:t>
            </w:r>
          </w:p>
        </w:tc>
      </w:tr>
      <w:tr w14:paraId="46722AFD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299402BA"/>
        </w:tc>
        <w:tc>
          <w:tcPr>
            <w:tcW w:w="2106" w:type="dxa"/>
            <w:gridSpan w:val="2"/>
            <w:shd w:val="clear" w:color="auto" w:fill="F1F1F1"/>
          </w:tcPr>
          <w:p w14:paraId="3C13346D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i w:val="0"/>
                <w:iCs w:val="0"/>
                <w:caps w:val="0"/>
                <w:color w:val="000000"/>
                <w:spacing w:val="0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Максимальная мощность</w:t>
            </w:r>
          </w:p>
          <w:p w14:paraId="3D52AF05">
            <w:pPr>
              <w:pStyle w:val="10"/>
              <w:spacing w:before="180" w:line="183" w:lineRule="auto"/>
            </w:pPr>
          </w:p>
        </w:tc>
        <w:tc>
          <w:tcPr>
            <w:tcW w:w="5855" w:type="dxa"/>
          </w:tcPr>
          <w:p w14:paraId="56EC102D">
            <w:pPr>
              <w:spacing w:before="154" w:line="199" w:lineRule="auto"/>
              <w:ind w:left="111"/>
              <w:rPr>
                <w:sz w:val="24"/>
                <w:szCs w:val="24"/>
              </w:rPr>
            </w:pPr>
            <w:r>
              <w:rPr>
                <w:rFonts w:hint="eastAsia" w:eastAsia="SimSun"/>
                <w:spacing w:val="-5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115</w:t>
            </w:r>
            <w:r>
              <w:rPr>
                <w:rFonts w:hint="default" w:eastAsia="SimSun"/>
                <w:spacing w:val="-5"/>
                <w:sz w:val="24"/>
                <w:szCs w:val="24"/>
                <w:lang w:val="ru-RU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кВт</w:t>
            </w:r>
          </w:p>
        </w:tc>
      </w:tr>
      <w:tr w14:paraId="17A89ADF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48EF37FB"/>
        </w:tc>
        <w:tc>
          <w:tcPr>
            <w:tcW w:w="2106" w:type="dxa"/>
            <w:gridSpan w:val="2"/>
            <w:shd w:val="clear" w:color="auto" w:fill="F1F1F1"/>
          </w:tcPr>
          <w:p w14:paraId="21678658">
            <w:pPr>
              <w:pStyle w:val="10"/>
              <w:spacing w:before="182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Входной кабель</w:t>
            </w:r>
          </w:p>
        </w:tc>
        <w:tc>
          <w:tcPr>
            <w:tcW w:w="5855" w:type="dxa"/>
          </w:tcPr>
          <w:p w14:paraId="29D713C4">
            <w:pPr>
              <w:pStyle w:val="7"/>
              <w:keepNext w:val="0"/>
              <w:keepLines w:val="0"/>
              <w:widowControl/>
              <w:suppressLineNumbers w:val="0"/>
              <w:ind w:left="0" w:firstLine="120" w:firstLineChars="50"/>
              <w:rPr>
                <w:sz w:val="24"/>
                <w:szCs w:val="24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YJV — 4×50 мм² + 25 мм²</w:t>
            </w:r>
          </w:p>
        </w:tc>
      </w:tr>
      <w:tr w14:paraId="1376C8B9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79252BC0">
            <w:pPr>
              <w:spacing w:line="246" w:lineRule="auto"/>
            </w:pPr>
          </w:p>
          <w:p w14:paraId="2F8F48C8">
            <w:pPr>
              <w:spacing w:line="246" w:lineRule="auto"/>
            </w:pPr>
          </w:p>
          <w:p w14:paraId="1A4AA56B">
            <w:pPr>
              <w:spacing w:line="247" w:lineRule="auto"/>
            </w:pPr>
          </w:p>
          <w:p w14:paraId="744C4396">
            <w:pPr>
              <w:spacing w:line="247" w:lineRule="auto"/>
            </w:pPr>
          </w:p>
          <w:p w14:paraId="25E0454E">
            <w:pPr>
              <w:spacing w:line="247" w:lineRule="auto"/>
            </w:pPr>
          </w:p>
          <w:p w14:paraId="612CB003">
            <w:pPr>
              <w:pStyle w:val="10"/>
              <w:spacing w:before="10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ы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73F12A96">
            <w:pPr>
              <w:pStyle w:val="10"/>
              <w:spacing w:before="179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5816D842">
            <w:pPr>
              <w:pStyle w:val="10"/>
              <w:spacing w:before="179" w:line="183" w:lineRule="auto"/>
              <w:ind w:left="110"/>
              <w:rPr>
                <w:rFonts w:hint="default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Однофазная двухпроводная система + заземление</w:t>
            </w:r>
          </w:p>
        </w:tc>
      </w:tr>
      <w:tr w14:paraId="42D7D902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6549580C">
            <w:pPr>
              <w:rPr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32DFCAC">
            <w:pPr>
              <w:pStyle w:val="10"/>
              <w:spacing w:before="181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напряжение</w:t>
            </w:r>
          </w:p>
        </w:tc>
        <w:tc>
          <w:tcPr>
            <w:tcW w:w="5855" w:type="dxa"/>
          </w:tcPr>
          <w:p w14:paraId="4DFD196E">
            <w:pPr>
              <w:pStyle w:val="10"/>
              <w:spacing w:before="179" w:line="183" w:lineRule="auto"/>
              <w:ind w:left="110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Переменное напряжение 220 В</w:t>
            </w:r>
          </w:p>
        </w:tc>
      </w:tr>
      <w:tr w14:paraId="0E55A5F8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35D78D06"/>
        </w:tc>
        <w:tc>
          <w:tcPr>
            <w:tcW w:w="2106" w:type="dxa"/>
            <w:gridSpan w:val="2"/>
            <w:shd w:val="clear" w:color="auto" w:fill="F1F1F1"/>
          </w:tcPr>
          <w:p w14:paraId="6932455B">
            <w:pPr>
              <w:pStyle w:val="10"/>
              <w:spacing w:before="181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Мощность одной линии</w:t>
            </w:r>
          </w:p>
        </w:tc>
        <w:tc>
          <w:tcPr>
            <w:tcW w:w="5855" w:type="dxa"/>
          </w:tcPr>
          <w:p w14:paraId="4D55118B">
            <w:pPr>
              <w:spacing w:before="154" w:line="199" w:lineRule="auto"/>
              <w:ind w:left="113"/>
              <w:rPr>
                <w:rFonts w:hint="default" w:eastAsia="SimSun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Макс. 5,5 кВт (рекомендуемая фактическая нагрузка ≤ 4 кВт)</w:t>
            </w:r>
          </w:p>
        </w:tc>
      </w:tr>
      <w:tr w14:paraId="4D1B5918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D9AC2F7"/>
        </w:tc>
        <w:tc>
          <w:tcPr>
            <w:tcW w:w="2106" w:type="dxa"/>
            <w:gridSpan w:val="2"/>
            <w:shd w:val="clear" w:color="auto" w:fill="F1F1F1"/>
          </w:tcPr>
          <w:p w14:paraId="6054425E">
            <w:pPr>
              <w:pStyle w:val="10"/>
              <w:spacing w:before="180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Количество выходных линий</w:t>
            </w:r>
          </w:p>
        </w:tc>
        <w:tc>
          <w:tcPr>
            <w:tcW w:w="5855" w:type="dxa"/>
          </w:tcPr>
          <w:p w14:paraId="2FC1DCD1">
            <w:pPr>
              <w:spacing w:before="153" w:line="198" w:lineRule="auto"/>
              <w:ind w:left="139"/>
              <w:rPr>
                <w:rFonts w:hint="default" w:eastAsia="SimSu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pacing w:val="-9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21</w:t>
            </w:r>
          </w:p>
        </w:tc>
      </w:tr>
      <w:tr w14:paraId="184BE319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2594C18D"/>
        </w:tc>
        <w:tc>
          <w:tcPr>
            <w:tcW w:w="2106" w:type="dxa"/>
            <w:gridSpan w:val="2"/>
            <w:shd w:val="clear" w:color="auto" w:fill="F1F1F1"/>
          </w:tcPr>
          <w:p w14:paraId="430C44F5">
            <w:pPr>
              <w:pStyle w:val="10"/>
              <w:spacing w:before="182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Выходной кабель</w:t>
            </w:r>
          </w:p>
        </w:tc>
        <w:tc>
          <w:tcPr>
            <w:tcW w:w="5855" w:type="dxa"/>
          </w:tcPr>
          <w:p w14:paraId="2AE963B2">
            <w:pPr>
              <w:pStyle w:val="7"/>
              <w:keepNext w:val="0"/>
              <w:keepLines w:val="0"/>
              <w:widowControl/>
              <w:suppressLineNumbers w:val="0"/>
              <w:ind w:left="0" w:firstLine="120" w:firstLineChars="50"/>
              <w:rPr>
                <w:sz w:val="24"/>
                <w:szCs w:val="24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RVV — 3×2,5 мм²</w:t>
            </w:r>
          </w:p>
        </w:tc>
      </w:tr>
      <w:tr w14:paraId="32C6C30C"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709EB14C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Условия эксплуатации</w:t>
            </w:r>
          </w:p>
        </w:tc>
        <w:tc>
          <w:tcPr>
            <w:tcW w:w="1746" w:type="dxa"/>
            <w:shd w:val="clear" w:color="auto" w:fill="F1F1F1"/>
          </w:tcPr>
          <w:p w14:paraId="47F7540E">
            <w:pPr>
              <w:pStyle w:val="10"/>
              <w:spacing w:before="180" w:line="183" w:lineRule="auto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 w:eastAsia="zh-CN"/>
              </w:rPr>
              <w:t>Температура</w:t>
            </w:r>
          </w:p>
        </w:tc>
        <w:tc>
          <w:tcPr>
            <w:tcW w:w="5855" w:type="dxa"/>
          </w:tcPr>
          <w:p w14:paraId="6E93E2E2">
            <w:pPr>
              <w:pStyle w:val="10"/>
              <w:spacing w:before="199" w:line="172" w:lineRule="auto"/>
              <w:ind w:left="117"/>
              <w:rPr>
                <w:rFonts w:hint="default" w:eastAsia="Microsoft YaHei"/>
                <w:spacing w:val="-3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-20℃-60℃</w:t>
            </w:r>
          </w:p>
        </w:tc>
      </w:tr>
      <w:tr w14:paraId="44AB589F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27CDC0CC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Габариты шкафа</w:t>
            </w:r>
          </w:p>
        </w:tc>
        <w:tc>
          <w:tcPr>
            <w:tcW w:w="5855" w:type="dxa"/>
          </w:tcPr>
          <w:p w14:paraId="7125B288">
            <w:pPr>
              <w:pStyle w:val="10"/>
              <w:spacing w:before="199" w:line="172" w:lineRule="auto"/>
              <w:ind w:firstLine="100" w:firstLineChars="50"/>
              <w:rPr>
                <w:rFonts w:hint="default" w:eastAsia="Microsoft YaHei"/>
                <w:lang w:val="ru-RU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ысота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8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0 см × ширина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6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0 см × глубина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20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см</w:t>
            </w:r>
          </w:p>
        </w:tc>
      </w:tr>
      <w:tr w14:paraId="4997212A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596D6908">
            <w:pPr>
              <w:pStyle w:val="10"/>
              <w:spacing w:before="180" w:line="184" w:lineRule="auto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Материал корпуса</w:t>
            </w:r>
          </w:p>
        </w:tc>
        <w:tc>
          <w:tcPr>
            <w:tcW w:w="5855" w:type="dxa"/>
          </w:tcPr>
          <w:p w14:paraId="2F659E4D">
            <w:pPr>
              <w:pStyle w:val="10"/>
              <w:spacing w:before="201" w:line="172" w:lineRule="auto"/>
              <w:ind w:left="117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Холоднокатаная сталь</w:t>
            </w:r>
          </w:p>
        </w:tc>
      </w:tr>
      <w:tr w14:paraId="6587A4DD">
        <w:trPr>
          <w:trHeight w:val="721" w:hRule="atLeast"/>
        </w:trPr>
        <w:tc>
          <w:tcPr>
            <w:tcW w:w="3491" w:type="dxa"/>
            <w:gridSpan w:val="3"/>
            <w:shd w:val="clear" w:color="auto" w:fill="F1F1F1"/>
          </w:tcPr>
          <w:p w14:paraId="44E44333">
            <w:pPr>
              <w:pStyle w:val="10"/>
              <w:spacing w:before="181" w:line="183" w:lineRule="auto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Бренды комплектующих</w:t>
            </w:r>
          </w:p>
        </w:tc>
        <w:tc>
          <w:tcPr>
            <w:tcW w:w="5855" w:type="dxa"/>
          </w:tcPr>
          <w:p w14:paraId="3E20A218">
            <w:pPr>
              <w:pStyle w:val="10"/>
              <w:spacing w:before="200" w:line="172" w:lineRule="auto"/>
              <w:ind w:left="128"/>
              <w:rPr>
                <w:rFonts w:hint="default" w:eastAsia="Microsoft YaHei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Высококлассная серия 6 компании Delixi (опционально: Chint, Schneider, Siemens, ABB и другие бренды)</w:t>
            </w:r>
          </w:p>
        </w:tc>
      </w:tr>
      <w:tr w14:paraId="3B897DAD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3B46D19">
            <w:pPr>
              <w:pStyle w:val="10"/>
              <w:spacing w:before="181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Степень защиты</w:t>
            </w:r>
          </w:p>
        </w:tc>
        <w:tc>
          <w:tcPr>
            <w:tcW w:w="5855" w:type="dxa"/>
          </w:tcPr>
          <w:p w14:paraId="543FEC53">
            <w:pPr>
              <w:pStyle w:val="10"/>
              <w:spacing w:before="179" w:line="184" w:lineRule="auto"/>
              <w:ind w:left="128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eastAsia="zh-CN"/>
              </w:rPr>
              <w:t>IP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43</w:t>
            </w:r>
          </w:p>
        </w:tc>
      </w:tr>
      <w:tr w14:paraId="451C070E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079B96AF">
            <w:pPr>
              <w:pStyle w:val="10"/>
              <w:spacing w:before="18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Стандарты соответствия</w:t>
            </w:r>
          </w:p>
        </w:tc>
        <w:tc>
          <w:tcPr>
            <w:tcW w:w="5855" w:type="dxa"/>
          </w:tcPr>
          <w:p w14:paraId="670C9829">
            <w:pPr>
              <w:spacing w:before="157" w:line="215" w:lineRule="auto"/>
              <w:ind w:left="131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GB/T7251.12-2013</w:t>
            </w:r>
          </w:p>
        </w:tc>
      </w:tr>
      <w:tr w14:paraId="3431E905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08F9D4DA">
            <w:pPr>
              <w:pStyle w:val="10"/>
              <w:spacing w:before="183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об упаковке</w:t>
            </w:r>
          </w:p>
        </w:tc>
        <w:tc>
          <w:tcPr>
            <w:tcW w:w="5855" w:type="dxa"/>
          </w:tcPr>
          <w:p w14:paraId="6B30CB3D">
            <w:pPr>
              <w:spacing w:before="157" w:line="215" w:lineRule="auto"/>
              <w:ind w:left="131"/>
              <w:rPr>
                <w:rFonts w:hint="eastAsia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Картонная коробка</w:t>
            </w:r>
          </w:p>
        </w:tc>
      </w:tr>
      <w:tr w14:paraId="725261D9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34E46A9E">
            <w:pPr>
              <w:pStyle w:val="10"/>
              <w:spacing w:before="183" w:line="183" w:lineRule="auto"/>
              <w:ind w:left="111"/>
              <w:rPr>
                <w:rFonts w:hint="eastAsia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 сертификации</w:t>
            </w:r>
          </w:p>
        </w:tc>
        <w:tc>
          <w:tcPr>
            <w:tcW w:w="5855" w:type="dxa"/>
          </w:tcPr>
          <w:p w14:paraId="3CAF4E3D">
            <w:pPr>
              <w:spacing w:before="157" w:line="215" w:lineRule="auto"/>
              <w:ind w:left="131"/>
              <w:rPr>
                <w:rFonts w:hint="default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CQC, CE, FCC, RoHS, патентные свидетельства и свидетельства об авторских правах на программное обеспечение</w:t>
            </w:r>
          </w:p>
        </w:tc>
      </w:tr>
      <w:bookmarkEnd w:id="2"/>
    </w:tbl>
    <w:p w14:paraId="654A299B">
      <w:p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2493D307">
      <w:pPr>
        <w:spacing w:before="104" w:line="223" w:lineRule="auto"/>
        <w:outlineLvl w:val="0"/>
        <w:rPr>
          <w:rFonts w:hint="eastAsia" w:ascii="SimHei" w:hAnsi="SimHei" w:eastAsia="SimHei" w:cs="SimHei"/>
          <w:sz w:val="32"/>
          <w:szCs w:val="32"/>
          <w:u w:val="single"/>
          <w:lang w:eastAsia="zh-CN"/>
        </w:rPr>
      </w:pPr>
    </w:p>
    <w:p w14:paraId="5A170E78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III. Эксплуатационные характеристики продукции</w:t>
      </w:r>
    </w:p>
    <w:p w14:paraId="185763E2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 Основные функции:</w:t>
      </w:r>
    </w:p>
    <w:p w14:paraId="456E69B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(1) Комплектующие серии 6 высокого класса Delixi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(2) Трёхфазная защита от превышения тока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(3) Индикаторы состояния трёхфазного питания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(4) Индикатор рабочего состояния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(5) Розетка для технического обслуживания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(6) Дистанционное управление одной кнопкой через сухой контакт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(7) Каскадное управление через сухой контакт</w:t>
      </w:r>
    </w:p>
    <w:p w14:paraId="0762549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2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управления по времени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автоматическое включение и выключение по расписанию.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3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 xml:space="preserve"> 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Функция дистанционного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 дистанционное управление на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ограниченном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 расстоянии.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4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мобильное облачное приложение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управление с телефона без ограничения по расстоянию.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5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Многофункциональная карта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Nova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Star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, Colorlight, Linsn, Kystar, ZHONGHANG, Mo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ier и др.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6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PLC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на компьютер устанавливается специальное программное обеспечение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 xml:space="preserve">.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Л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юбой компьютер в локальной сети может управлять любым распределительным шкафом. Возможна централизованная работа с несколькими шкафами. Интерфейс управления может отображать такие параметры внутри LED-экрана, как температура, влажность, наличие дыма и т. д.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7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центральную систему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позволяет управлять одним или несколькими распределительными шкафами через центральную систему управления.</w:t>
      </w:r>
    </w:p>
    <w:p w14:paraId="3DB94A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</w:pPr>
    </w:p>
    <w:p w14:paraId="0DBE6CFE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  <w:t>IV. Защита и безопасность</w:t>
      </w:r>
    </w:p>
    <w:p w14:paraId="2010B419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короткого замыкания</w:t>
      </w:r>
    </w:p>
    <w:p w14:paraId="60C4BA6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перегрузки</w:t>
      </w:r>
    </w:p>
    <w:p w14:paraId="1137359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перенапряжений, вызванных грозовыми разрядами (опционально)</w:t>
      </w:r>
    </w:p>
    <w:p w14:paraId="5AC69E7C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утечки тока (опционально)</w:t>
      </w:r>
    </w:p>
    <w:p w14:paraId="4B07298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пониженного и повышенного напряжения (опционально)</w:t>
      </w:r>
    </w:p>
    <w:p w14:paraId="185A415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обрыва фазы (опционально)</w:t>
      </w:r>
    </w:p>
    <w:p w14:paraId="5F27C74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высокой температуре (опционально)</w:t>
      </w:r>
    </w:p>
    <w:p w14:paraId="4F74B6A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срабатывании датчика дыма (опционально)</w:t>
      </w:r>
    </w:p>
    <w:p w14:paraId="7F5D2F6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открытии двери (опционально)</w:t>
      </w:r>
    </w:p>
    <w:p w14:paraId="23CD60F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обнаружении пламени (опционально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)</w:t>
      </w:r>
    </w:p>
    <w:p w14:paraId="295AB9B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нулевого кабеля от перегрева (опционально)</w:t>
      </w:r>
    </w:p>
    <w:p w14:paraId="59D9AA23">
      <w:pPr>
        <w:spacing w:before="4"/>
        <w:rPr>
          <w:rFonts w:hint="eastAsia" w:eastAsia="SimSun"/>
          <w:sz w:val="22"/>
          <w:szCs w:val="22"/>
          <w:lang w:eastAsia="zh-CN"/>
        </w:rPr>
      </w:pPr>
    </w:p>
    <w:p w14:paraId="382D6857">
      <w:pPr>
        <w:spacing w:before="4"/>
        <w:rPr>
          <w:rFonts w:hint="eastAsia" w:eastAsia="SimSun"/>
          <w:lang w:eastAsia="zh-CN"/>
        </w:rPr>
      </w:pPr>
    </w:p>
    <w:p w14:paraId="0EDB0D6A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V. Управление электропотреблением (опционально)</w:t>
      </w:r>
    </w:p>
    <w:p w14:paraId="62F221C0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Дистанционное управление, мониторинг в режиме реального времени, предварительное предупреждение и аварийная сигнализация, анализ энергопотребления.</w:t>
      </w:r>
    </w:p>
    <w:p w14:paraId="6E1529B9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2.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Мониторинг в режиме реального времени параметров электропотребления каждой линии (например: ток, напряжение, ток утечки, мощность, температура и т. д.).</w:t>
      </w:r>
    </w:p>
    <w:p w14:paraId="6B92BB2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3.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Ограничение мощности: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в пределах допустимой мощности можно свободно задавать номинальную мощность каждой линии электропотребления. Через платформу можно гибко устанавливать пороговые значения для предупреждений и аварийной сигнализации, а также корректировать значения защиты линий уже после установки. Это позволяет предотвращать неправильное использование мощных электроприборов и снижать риски, связанные с электропотреблением.</w:t>
      </w:r>
    </w:p>
    <w:p w14:paraId="0DD777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5B59A1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7ED57530">
      <w:pPr>
        <w:spacing w:before="4"/>
      </w:pPr>
    </w:p>
    <w:p w14:paraId="3C32BFC6">
      <w:pPr>
        <w:spacing w:before="4"/>
      </w:pPr>
    </w:p>
    <w:p w14:paraId="3D9934B2">
      <w:pPr>
        <w:spacing w:before="4"/>
      </w:pPr>
    </w:p>
    <w:p w14:paraId="355A07A2">
      <w:pPr>
        <w:spacing w:before="4"/>
      </w:pPr>
    </w:p>
    <w:p w14:paraId="1D916824">
      <w:pPr>
        <w:spacing w:before="4"/>
      </w:pPr>
    </w:p>
    <w:p w14:paraId="3B3DF121">
      <w:pPr>
        <w:spacing w:before="4"/>
      </w:pPr>
    </w:p>
    <w:p w14:paraId="517C4E12">
      <w:pPr>
        <w:spacing w:before="4"/>
      </w:pPr>
    </w:p>
    <w:p w14:paraId="274F9FA2">
      <w:pPr>
        <w:spacing w:before="4"/>
      </w:pPr>
    </w:p>
    <w:p w14:paraId="188BD70F">
      <w:pPr>
        <w:spacing w:before="4"/>
      </w:pPr>
    </w:p>
    <w:p w14:paraId="090475A4">
      <w:pPr>
        <w:pStyle w:val="7"/>
        <w:keepNext w:val="0"/>
        <w:keepLines w:val="0"/>
        <w:widowControl/>
        <w:suppressLineNumbers w:val="0"/>
        <w:ind w:left="0" w:firstLine="0"/>
        <w:rPr>
          <w:lang w:val="en-US" w:eastAsia="en-US"/>
        </w:rPr>
      </w:pPr>
      <w:bookmarkStart w:id="3" w:name="_Hlk148375924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VI. Информация об установке</w:t>
      </w:r>
      <w:bookmarkEnd w:id="3"/>
    </w:p>
    <w:p w14:paraId="550108CE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44A81F08">
      <w:pPr>
        <w:bidi w:val="0"/>
        <w:rPr>
          <w:lang w:val="en-US" w:eastAsia="en-US"/>
        </w:rPr>
      </w:pPr>
    </w:p>
    <w:p w14:paraId="07738B6A">
      <w:pPr>
        <w:tabs>
          <w:tab w:val="left" w:pos="240"/>
        </w:tabs>
        <w:bidi w:val="0"/>
        <w:jc w:val="center"/>
      </w:pPr>
      <w:r>
        <w:drawing>
          <wp:inline distT="0" distB="0" distL="114300" distR="114300">
            <wp:extent cx="5219700" cy="3994150"/>
            <wp:effectExtent l="0" t="0" r="0" b="635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D59F7">
      <w:pPr>
        <w:tabs>
          <w:tab w:val="left" w:pos="240"/>
        </w:tabs>
        <w:bidi w:val="0"/>
        <w:jc w:val="left"/>
      </w:pPr>
    </w:p>
    <w:p w14:paraId="5A379861">
      <w:pPr>
        <w:tabs>
          <w:tab w:val="left" w:pos="240"/>
        </w:tabs>
        <w:bidi w:val="0"/>
        <w:jc w:val="center"/>
        <w:rPr>
          <w:rFonts w:hint="eastAsia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drawing>
          <wp:inline distT="0" distB="0" distL="114300" distR="114300">
            <wp:extent cx="5654040" cy="4038600"/>
            <wp:effectExtent l="0" t="0" r="381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6BEF2F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ascii="SimHei" w:hAnsi="SimHei" w:eastAsia="SimHei" w:cs="SimHei"/>
          <w:sz w:val="27"/>
          <w:szCs w:val="27"/>
        </w:rPr>
      </w:pPr>
    </w:p>
    <w:p w14:paraId="59A12951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3E1C4E2F">
      <w:pPr>
        <w:bidi w:val="0"/>
        <w:rPr>
          <w:lang w:val="en-US" w:eastAsia="en-US"/>
        </w:rPr>
      </w:pPr>
    </w:p>
    <w:p w14:paraId="7DB528BB">
      <w:pPr>
        <w:bidi w:val="0"/>
        <w:rPr>
          <w:rFonts w:hint="eastAsia" w:eastAsia="SimSun"/>
          <w:lang w:val="en-US" w:eastAsia="zh-CN"/>
        </w:rPr>
      </w:pPr>
    </w:p>
    <w:p w14:paraId="29E8A40A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  <w:bookmarkStart w:id="4" w:name="_GoBack"/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 </w:t>
      </w:r>
      <w:r>
        <w:rPr>
          <w:rStyle w:val="8"/>
          <w:i w:val="0"/>
          <w:iCs w:val="0"/>
          <w:caps w:val="0"/>
          <w:color w:val="000000"/>
          <w:spacing w:val="0"/>
        </w:rPr>
        <w:t>VII. Принципиальная схема</w:t>
      </w:r>
    </w:p>
    <w:bookmarkEnd w:id="4"/>
    <w:p w14:paraId="720D8C7F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</w:p>
    <w:p w14:paraId="36471D20">
      <w:pPr>
        <w:bidi w:val="0"/>
        <w:rPr>
          <w:lang w:val="en-US" w:eastAsia="en-US"/>
        </w:rPr>
      </w:pPr>
    </w:p>
    <w:p w14:paraId="63351168">
      <w:pPr>
        <w:bidi w:val="0"/>
        <w:rPr>
          <w:lang w:val="en-US" w:eastAsia="en-US"/>
        </w:rPr>
      </w:pPr>
      <w:r>
        <w:drawing>
          <wp:inline distT="0" distB="0" distL="114300" distR="114300">
            <wp:extent cx="7543165" cy="3306445"/>
            <wp:effectExtent l="0" t="0" r="63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31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E630D">
      <w:pPr>
        <w:tabs>
          <w:tab w:val="left" w:pos="765"/>
        </w:tabs>
        <w:bidi w:val="0"/>
        <w:jc w:val="center"/>
      </w:pPr>
      <w:r>
        <w:drawing>
          <wp:inline distT="0" distB="0" distL="114300" distR="114300">
            <wp:extent cx="2971800" cy="5161915"/>
            <wp:effectExtent l="0" t="0" r="0" b="63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16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E06A2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SimSun">
    <w:altName w:val="宋体-简"/>
    <w:panose1 w:val="02010600030101010101"/>
    <w:charset w:val="86"/>
    <w:family w:val="roman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D7196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9D02F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16231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32481">
    <w:pPr>
      <w:pStyle w:val="6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C9E46">
    <w:pPr>
      <w:pStyle w:val="6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81FAA">
    <w:pPr>
      <w:pStyle w:val="6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FDCAD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0578A">
    <w:pPr>
      <w:pStyle w:val="6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4EF9F">
    <w:pPr>
      <w:pStyle w:val="6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E911D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8F90C">
    <w:pPr>
      <w:pStyle w:val="6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761B7">
    <w:pPr>
      <w:pStyle w:val="6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C7E31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498A2">
    <w:pPr>
      <w:pStyle w:val="6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95327">
    <w:pPr>
      <w:pStyle w:val="6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74764"/>
    <w:multiLevelType w:val="singleLevel"/>
    <w:tmpl w:val="AEB7476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EDC019A"/>
    <w:multiLevelType w:val="singleLevel"/>
    <w:tmpl w:val="BEDC019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6D5F444A"/>
    <w:multiLevelType w:val="singleLevel"/>
    <w:tmpl w:val="6D5F444A"/>
    <w:lvl w:ilvl="0" w:tentative="0">
      <w:start w:val="4"/>
      <w:numFmt w:val="decimal"/>
      <w:suff w:val="space"/>
      <w:lvlText w:val="%1."/>
      <w:lvlJc w:val="left"/>
      <w:rPr>
        <w:rFonts w:hint="default" w:ascii="Times New Roman" w:hAnsi="Times New Roman" w:cs="Times New Roman"/>
        <w:b w:val="0"/>
        <w:bCs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doNotWrapTextWithPunct/>
    <w:doNotUseEastAsianBreakRules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45370A8"/>
    <w:rsid w:val="08720631"/>
    <w:rsid w:val="0AD41BFE"/>
    <w:rsid w:val="0CBD0903"/>
    <w:rsid w:val="0F5857F6"/>
    <w:rsid w:val="1177101B"/>
    <w:rsid w:val="194C6611"/>
    <w:rsid w:val="1E2D387D"/>
    <w:rsid w:val="225F6C5B"/>
    <w:rsid w:val="2AF3260E"/>
    <w:rsid w:val="2CB77F57"/>
    <w:rsid w:val="3E6D5349"/>
    <w:rsid w:val="3F57057C"/>
    <w:rsid w:val="42DC2E3E"/>
    <w:rsid w:val="436B2962"/>
    <w:rsid w:val="492137B7"/>
    <w:rsid w:val="4A267B38"/>
    <w:rsid w:val="4C33695C"/>
    <w:rsid w:val="4C3F49E9"/>
    <w:rsid w:val="5D641470"/>
    <w:rsid w:val="61CE05EB"/>
    <w:rsid w:val="748322E7"/>
    <w:rsid w:val="75DC90C8"/>
    <w:rsid w:val="7AD4152A"/>
    <w:rsid w:val="FF7D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2"/>
    <w:qFormat/>
    <w:uiPriority w:val="0"/>
    <w:rPr>
      <w:b/>
      <w:bCs/>
    </w:rPr>
  </w:style>
  <w:style w:type="table" w:customStyle="1" w:styleId="9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11">
    <w:name w:val="页眉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2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1073</Words>
  <Characters>1205</Characters>
  <Lines>8</Lines>
  <Paragraphs>2</Paragraphs>
  <TotalTime>0</TotalTime>
  <ScaleCrop>false</ScaleCrop>
  <LinksUpToDate>false</LinksUpToDate>
  <CharactersWithSpaces>1219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2022-05-07T15:45:00Z</dcterms:created>
  <dc:creator>陈年</dc:creator>
  <cp:lastModifiedBy>Yulia Glazetskaya</cp:lastModifiedBy>
  <dcterms:modified xsi:type="dcterms:W3CDTF">2026-09-18T16:28:36Z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1033-12.1.26015.26015</vt:lpwstr>
  </property>
  <property fmtid="{D5CDD505-2E9C-101B-9397-08002B2CF9AE}" pid="5" name="ICV">
    <vt:lpwstr>84548BAC9C1BAC58AE33AD6A482A19DE_43</vt:lpwstr>
  </property>
  <property fmtid="{D5CDD505-2E9C-101B-9397-08002B2CF9AE}" pid="6" name="KSOTemplateDocerSaveRecord">
    <vt:lpwstr>eyJoZGlkIjoiYjA1MjQ5ODgzNWQ3NDkxMDU3Y2Q1MGU4MmE5M2RkNGEiLCJ1c2VySWQiOiIyNTcxNjczNzgifQ==</vt:lpwstr>
  </property>
</Properties>
</file>